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裕民县民政局关于开展政府购买特殊困难老年人家庭适老化改造服务项目的公告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ascii="微软雅黑" w:hAnsi="微软雅黑" w:eastAsia="微软雅黑" w:cs="微软雅黑"/>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2"/>
          <w:szCs w:val="32"/>
          <w:shd w:val="clear" w:fill="FFFFFF"/>
        </w:rPr>
        <w:t>根据《</w:t>
      </w:r>
      <w:r>
        <w:rPr>
          <w:rFonts w:hint="eastAsia" w:ascii="仿宋_GB2312" w:hAnsi="仿宋_GB2312" w:eastAsia="仿宋_GB2312" w:cs="仿宋_GB2312"/>
          <w:i w:val="0"/>
          <w:iCs w:val="0"/>
          <w:caps w:val="0"/>
          <w:color w:val="000000"/>
          <w:spacing w:val="0"/>
          <w:sz w:val="32"/>
          <w:szCs w:val="32"/>
          <w:shd w:val="clear" w:fill="FFFFFF"/>
          <w:lang w:val="en-US" w:eastAsia="zh-CN"/>
        </w:rPr>
        <w:t>关于加快实施老年人居家适老化改造工程的指导意见》文件要求，选取48户符合条件的特殊困难老年人家庭，按户均3500元的标准实施适老化改造。以满足不同老年人起居行走、改善居家生活照护条件、康复护理等需求，</w:t>
      </w: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民政局决定开展</w:t>
      </w:r>
      <w:r>
        <w:rPr>
          <w:rFonts w:hint="eastAsia" w:ascii="仿宋_GB2312" w:hAnsi="仿宋_GB2312" w:eastAsia="仿宋_GB2312" w:cs="仿宋_GB2312"/>
          <w:i w:val="0"/>
          <w:iCs w:val="0"/>
          <w:caps w:val="0"/>
          <w:color w:val="000000"/>
          <w:spacing w:val="0"/>
          <w:sz w:val="32"/>
          <w:szCs w:val="32"/>
          <w:shd w:val="clear" w:fill="FFFFFF"/>
          <w:lang w:val="en-US" w:eastAsia="zh-CN"/>
        </w:rPr>
        <w:t>政府</w:t>
      </w:r>
      <w:r>
        <w:rPr>
          <w:rFonts w:hint="eastAsia" w:ascii="仿宋_GB2312" w:hAnsi="仿宋_GB2312" w:eastAsia="仿宋_GB2312" w:cs="仿宋_GB2312"/>
          <w:i w:val="0"/>
          <w:iCs w:val="0"/>
          <w:caps w:val="0"/>
          <w:color w:val="000000"/>
          <w:spacing w:val="0"/>
          <w:sz w:val="32"/>
          <w:szCs w:val="32"/>
          <w:shd w:val="clear" w:fill="FFFFFF"/>
        </w:rPr>
        <w:t>购买</w:t>
      </w:r>
      <w:r>
        <w:rPr>
          <w:rFonts w:hint="eastAsia" w:ascii="仿宋_GB2312" w:hAnsi="仿宋_GB2312" w:eastAsia="仿宋_GB2312" w:cs="仿宋_GB2312"/>
          <w:i w:val="0"/>
          <w:iCs w:val="0"/>
          <w:caps w:val="0"/>
          <w:color w:val="000000"/>
          <w:spacing w:val="0"/>
          <w:sz w:val="32"/>
          <w:szCs w:val="32"/>
          <w:shd w:val="clear" w:fill="FFFFFF"/>
          <w:lang w:val="en-US" w:eastAsia="zh-CN"/>
        </w:rPr>
        <w:t>特殊困难老年人家庭适老化改造</w:t>
      </w:r>
      <w:r>
        <w:rPr>
          <w:rFonts w:hint="eastAsia" w:ascii="仿宋_GB2312" w:hAnsi="仿宋_GB2312" w:eastAsia="仿宋_GB2312" w:cs="仿宋_GB2312"/>
          <w:i w:val="0"/>
          <w:iCs w:val="0"/>
          <w:caps w:val="0"/>
          <w:color w:val="000000"/>
          <w:spacing w:val="0"/>
          <w:sz w:val="32"/>
          <w:szCs w:val="32"/>
          <w:shd w:val="clear" w:fill="FFFFFF"/>
        </w:rPr>
        <w:t>服务，具体事项如下：</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项目名称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政府购买</w:t>
      </w:r>
      <w:r>
        <w:rPr>
          <w:rFonts w:hint="eastAsia" w:ascii="仿宋_GB2312" w:hAnsi="仿宋_GB2312" w:eastAsia="仿宋_GB2312" w:cs="仿宋_GB2312"/>
          <w:i w:val="0"/>
          <w:iCs w:val="0"/>
          <w:caps w:val="0"/>
          <w:color w:val="000000"/>
          <w:spacing w:val="0"/>
          <w:sz w:val="32"/>
          <w:szCs w:val="32"/>
          <w:shd w:val="clear" w:fill="FFFFFF"/>
          <w:lang w:val="en-US" w:eastAsia="zh-CN"/>
        </w:rPr>
        <w:t>特殊困难老年人家庭适老化改造</w:t>
      </w:r>
      <w:r>
        <w:rPr>
          <w:rFonts w:hint="eastAsia" w:ascii="仿宋_GB2312" w:hAnsi="仿宋_GB2312" w:eastAsia="仿宋_GB2312" w:cs="仿宋_GB2312"/>
          <w:i w:val="0"/>
          <w:iCs w:val="0"/>
          <w:caps w:val="0"/>
          <w:color w:val="000000"/>
          <w:spacing w:val="0"/>
          <w:sz w:val="32"/>
          <w:szCs w:val="32"/>
          <w:shd w:val="clear" w:fill="FFFFFF"/>
        </w:rPr>
        <w:t>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二、购买服务内容</w:t>
      </w:r>
    </w:p>
    <w:tbl>
      <w:tblPr>
        <w:tblStyle w:val="5"/>
        <w:tblW w:w="84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8"/>
        <w:gridCol w:w="1203"/>
        <w:gridCol w:w="1608"/>
        <w:gridCol w:w="3517"/>
        <w:gridCol w:w="837"/>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Style w:val="9"/>
                <w:lang w:val="en-US" w:eastAsia="zh-CN" w:bidi="ar"/>
              </w:rPr>
              <w:t>序号</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Style w:val="9"/>
                <w:lang w:val="en-US" w:eastAsia="zh-CN" w:bidi="ar"/>
              </w:rPr>
              <w:t>类别</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Style w:val="9"/>
                <w:lang w:val="en-US" w:eastAsia="zh-CN" w:bidi="ar"/>
              </w:rPr>
              <w:t>项目名称</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Style w:val="9"/>
                <w:lang w:val="en-US" w:eastAsia="zh-CN" w:bidi="ar"/>
              </w:rPr>
              <w:t>具体内容</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Style w:val="9"/>
                <w:lang w:val="en-US" w:eastAsia="zh-CN" w:bidi="ar"/>
              </w:rPr>
              <w:t>项目类型</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9"/>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（一）地面改造</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防滑处理</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在卫生间、厨房、卧室等区域，铺设防滑砖或者防滑地胶，避免老年人滑倒，提高安全性。</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高差处理</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铺设水泥坡道或者加设橡胶等材质的可移动式坡道，保证路面平滑、无高差障碍，方便轮椅进出。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平整硬化</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对地面进行平整硬化，方便轮椅通过，降低风险。</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安装扶手</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在高差变化处安装扶手，辅助老年人通过。</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（二）门改造</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门槛移除</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移除门槛，保证老年人进门无障碍，方便轮椅进出。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平开门改为推拉门</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方便开启，增加通行宽度和辅助操作空间。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房门拓宽</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对卫生间、厨房等空间较窄的门洞进行拓宽，改善通过性，方便轮椅进出。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下压式门把手改造</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可用单手手掌或者手指轻松操作，增加摩擦力和稳定性，方便老年人开门。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安装闪光振动门铃</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供听力视力障碍老年人使用。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（三）卧室改造</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配置护理床</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帮助失能老年人完成起身、侧翻、上下床、吃饭等动作，辅助喂食、处理排泄物等。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安装床边护栏（抓杆）</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辅助老年人起身、上下床，防止翻身滚下床，保证老年人睡眠和活动安全。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配置防压</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避免长期乘坐轮椅或卧床的老年人发生严重压疮，包括防压疮坐垫、靠垫或床垫等。</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疮垫</w:t>
            </w: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（四）如厕洗浴设备改造</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安装扶手</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方正仿宋_GBK" w:hAnsi="方正仿宋_GBK" w:eastAsia="方正仿宋_GBK" w:cs="方正仿宋_GBK"/>
                <w:i w:val="0"/>
                <w:color w:val="000000"/>
                <w:sz w:val="24"/>
                <w:szCs w:val="24"/>
                <w:u w:val="none"/>
              </w:rPr>
            </w:pPr>
            <w:r>
              <w:rPr>
                <w:rStyle w:val="10"/>
                <w:lang w:val="en-US" w:eastAsia="zh-CN" w:bidi="ar"/>
              </w:rPr>
              <w:t>在如厕区或者洗浴区安装扶手，辅助老年人起身、站立、转身和坐下，包括一字形扶手、</w:t>
            </w:r>
            <w:r>
              <w:rPr>
                <w:rStyle w:val="11"/>
                <w:rFonts w:eastAsia="方正仿宋_GBK"/>
                <w:lang w:val="en-US" w:eastAsia="zh-CN" w:bidi="ar"/>
              </w:rPr>
              <w:t>U</w:t>
            </w:r>
            <w:r>
              <w:rPr>
                <w:rStyle w:val="10"/>
                <w:lang w:val="en-US" w:eastAsia="zh-CN" w:bidi="ar"/>
              </w:rPr>
              <w:t>形扶手、</w:t>
            </w:r>
            <w:r>
              <w:rPr>
                <w:rStyle w:val="11"/>
                <w:rFonts w:eastAsia="方正仿宋_GBK"/>
                <w:lang w:val="en-US" w:eastAsia="zh-CN" w:bidi="ar"/>
              </w:rPr>
              <w:t>L</w:t>
            </w:r>
            <w:r>
              <w:rPr>
                <w:rStyle w:val="10"/>
                <w:lang w:val="en-US" w:eastAsia="zh-CN" w:bidi="ar"/>
              </w:rPr>
              <w:t>形扶手、</w:t>
            </w:r>
            <w:r>
              <w:rPr>
                <w:rStyle w:val="11"/>
                <w:rFonts w:eastAsia="方正仿宋_GBK"/>
                <w:lang w:val="en-US" w:eastAsia="zh-CN" w:bidi="ar"/>
              </w:rPr>
              <w:t>135°</w:t>
            </w:r>
            <w:r>
              <w:rPr>
                <w:rStyle w:val="10"/>
                <w:lang w:val="en-US" w:eastAsia="zh-CN" w:bidi="ar"/>
              </w:rPr>
              <w:t>扶手、</w:t>
            </w:r>
            <w:r>
              <w:rPr>
                <w:rStyle w:val="11"/>
                <w:rFonts w:eastAsia="方正仿宋_GBK"/>
                <w:lang w:val="en-US" w:eastAsia="zh-CN" w:bidi="ar"/>
              </w:rPr>
              <w:t>T</w:t>
            </w:r>
            <w:r>
              <w:rPr>
                <w:rStyle w:val="10"/>
                <w:lang w:val="en-US" w:eastAsia="zh-CN" w:bidi="ar"/>
              </w:rPr>
              <w:t>形扶手或者助力扶手等。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蹲便器改坐便器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减轻蹲姿造成的腿部压力，避免老年人如厕时摔倒，方便乘轮椅老年人使用。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水龙头改造</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采用拔杆式或感应水龙头，方便老年人开关水阀。</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浴缸</w:t>
            </w:r>
            <w:r>
              <w:rPr>
                <w:rStyle w:val="11"/>
                <w:rFonts w:eastAsia="方正仿宋_GBK"/>
                <w:lang w:val="en-US" w:eastAsia="zh-CN" w:bidi="ar"/>
              </w:rPr>
              <w:t>/</w:t>
            </w:r>
            <w:r>
              <w:rPr>
                <w:rStyle w:val="10"/>
                <w:lang w:val="en-US" w:eastAsia="zh-CN" w:bidi="ar"/>
              </w:rPr>
              <w:t>淋浴房改造</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拆除浴缸</w:t>
            </w:r>
            <w:r>
              <w:rPr>
                <w:rStyle w:val="11"/>
                <w:rFonts w:eastAsia="方正仿宋_GBK"/>
                <w:lang w:val="en-US" w:eastAsia="zh-CN" w:bidi="ar"/>
              </w:rPr>
              <w:t>/</w:t>
            </w:r>
            <w:r>
              <w:rPr>
                <w:rStyle w:val="10"/>
                <w:lang w:val="en-US" w:eastAsia="zh-CN" w:bidi="ar"/>
              </w:rPr>
              <w:t>淋浴房，更换浴帘、浴杆，增加淋浴空间，方便照护人员辅助老年人洗浴。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配置淋浴椅</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辅助老年人洗澡用，避免老年人滑倒，提高安全性。</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10"/>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（五）厨房设备改造</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台面改造</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降低操作台、灶台、洗菜池高度或者在其下方留出容膝空间，方便乘轮椅或者体型矮小老年人操作。</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加设中部柜</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在吊柜下方设置开敞式中部柜、中部架，方便老年人取放物品。</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（六）物理环境改造</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安装自动感应灯具</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安装感应便携灯，避免直射光源、强刺激性光源，人走灯灭，辅助老年人起夜使用。</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电源插座及开关改造</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视情进行高</w:t>
            </w:r>
            <w:r>
              <w:rPr>
                <w:rStyle w:val="11"/>
                <w:rFonts w:eastAsia="方正仿宋_GBK"/>
                <w:lang w:val="en-US" w:eastAsia="zh-CN" w:bidi="ar"/>
              </w:rPr>
              <w:t>/</w:t>
            </w:r>
            <w:r>
              <w:rPr>
                <w:rStyle w:val="10"/>
                <w:lang w:val="en-US" w:eastAsia="zh-CN" w:bidi="ar"/>
              </w:rPr>
              <w:t>低位改造，避免老年人下蹲或弯腰，方便老年人插拔电源和使用开关。</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安装防撞护角</w:t>
            </w:r>
            <w:r>
              <w:rPr>
                <w:rStyle w:val="11"/>
                <w:rFonts w:eastAsia="方正仿宋_GBK"/>
                <w:lang w:val="en-US" w:eastAsia="zh-CN" w:bidi="ar"/>
              </w:rPr>
              <w:t>/</w:t>
            </w:r>
            <w:r>
              <w:rPr>
                <w:rStyle w:val="10"/>
                <w:lang w:val="en-US" w:eastAsia="zh-CN" w:bidi="ar"/>
              </w:rPr>
              <w:t>防撞条、提示标识</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在家具尖角或墙角安装防撞护角或者防撞条，避免老年人磕碰划伤，必要时粘贴防滑条、警示条等符合相关标准和老年人认知特点的提示标识。</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适老家具配置</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比如换鞋凳、适老椅、电动升降晾衣架等。</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（七）老年用品配置</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手杖</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辅助老年人平稳站立和行走，包含三脚或四脚手杖、凳拐等。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轮椅</w:t>
            </w:r>
            <w:r>
              <w:rPr>
                <w:rStyle w:val="11"/>
                <w:rFonts w:eastAsia="方正仿宋_GBK"/>
                <w:lang w:val="en-US" w:eastAsia="zh-CN" w:bidi="ar"/>
              </w:rPr>
              <w:t xml:space="preserve">/ </w:t>
            </w:r>
            <w:r>
              <w:rPr>
                <w:rStyle w:val="10"/>
                <w:lang w:val="en-US" w:eastAsia="zh-CN" w:bidi="ar"/>
              </w:rPr>
              <w:t>助行器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辅助家人、照护人员推行</w:t>
            </w:r>
            <w:r>
              <w:rPr>
                <w:rStyle w:val="11"/>
                <w:rFonts w:eastAsia="方正仿宋_GBK"/>
                <w:lang w:val="en-US" w:eastAsia="zh-CN" w:bidi="ar"/>
              </w:rPr>
              <w:t>/</w:t>
            </w:r>
            <w:r>
              <w:rPr>
                <w:rStyle w:val="10"/>
                <w:lang w:val="en-US" w:eastAsia="zh-CN" w:bidi="ar"/>
              </w:rPr>
              <w:t>帮助老年人站立行走，扩大老年人活动空间。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放大装置</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运用光学</w:t>
            </w:r>
            <w:r>
              <w:rPr>
                <w:rStyle w:val="11"/>
                <w:rFonts w:eastAsia="方正仿宋_GBK"/>
                <w:lang w:val="en-US" w:eastAsia="zh-CN" w:bidi="ar"/>
              </w:rPr>
              <w:t>/</w:t>
            </w:r>
            <w:r>
              <w:rPr>
                <w:rStyle w:val="10"/>
                <w:lang w:val="en-US" w:eastAsia="zh-CN" w:bidi="ar"/>
              </w:rPr>
              <w:t>电子原理进行影像放大，方便老年人近用。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助听器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帮助老年人听清声音来源，增加与周围的交流，包括盒式助听器、耳内助听器、耳背助听器、骨导助听器等。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自助进食器具</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辅助老年人进食，包括防洒碗（盘）、助食筷、弯柄勺（叉）、饮水杯（壶）等。</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防走失装置</w:t>
            </w:r>
          </w:p>
        </w:tc>
        <w:tc>
          <w:tcPr>
            <w:tcW w:w="3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用于监测失智老年人或其他精神障碍老年人定位，避免老年人走失，包括防走失手环、防走失胸卡等。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基础</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安全监控装置</w:t>
            </w:r>
          </w:p>
        </w:tc>
        <w:tc>
          <w:tcPr>
            <w:tcW w:w="35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佩戴于人体或安装在居家环境中，用于监测老年人动作或者居室环境，发生险情时及时报警。包括红外探测器、紧急呼叫器、烟雾</w:t>
            </w:r>
            <w:r>
              <w:rPr>
                <w:rStyle w:val="11"/>
                <w:rFonts w:eastAsia="方正仿宋_GBK"/>
                <w:lang w:val="en-US" w:eastAsia="zh-CN" w:bidi="ar"/>
              </w:rPr>
              <w:t>/</w:t>
            </w:r>
            <w:r>
              <w:rPr>
                <w:rStyle w:val="11"/>
                <w:rFonts w:hint="eastAsia" w:eastAsia="方正仿宋_GBK"/>
                <w:lang w:val="en-US" w:eastAsia="zh-CN" w:bidi="ar"/>
              </w:rPr>
              <w:t>煤气泄漏</w:t>
            </w:r>
            <w:r>
              <w:rPr>
                <w:rStyle w:val="11"/>
                <w:rFonts w:eastAsia="方正仿宋_GBK"/>
                <w:lang w:val="en-US" w:eastAsia="zh-CN" w:bidi="ar"/>
              </w:rPr>
              <w:t>/</w:t>
            </w:r>
            <w:r>
              <w:rPr>
                <w:rStyle w:val="10"/>
                <w:lang w:val="en-US" w:eastAsia="zh-CN" w:bidi="ar"/>
              </w:rPr>
              <w:t>溢水报警器等。</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Style w:val="10"/>
                <w:lang w:val="en-US" w:eastAsia="zh-CN" w:bidi="ar"/>
              </w:rPr>
              <w:t>可选</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35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default" w:ascii="方正仿宋_GBK" w:hAnsi="方正仿宋_GBK" w:eastAsia="方正仿宋_GBK" w:cs="方正仿宋_GBK"/>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三、资金预算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本次购买服务预算资金</w:t>
      </w:r>
      <w:r>
        <w:rPr>
          <w:rFonts w:hint="eastAsia" w:ascii="仿宋_GB2312" w:hAnsi="仿宋_GB2312" w:eastAsia="仿宋_GB2312" w:cs="仿宋_GB2312"/>
          <w:i w:val="0"/>
          <w:iCs w:val="0"/>
          <w:caps w:val="0"/>
          <w:color w:val="000000"/>
          <w:spacing w:val="0"/>
          <w:sz w:val="32"/>
          <w:szCs w:val="32"/>
          <w:shd w:val="clear" w:fill="FFFFFF"/>
          <w:lang w:val="en-US" w:eastAsia="zh-CN"/>
        </w:rPr>
        <w:t>168000</w:t>
      </w:r>
      <w:r>
        <w:rPr>
          <w:rFonts w:hint="eastAsia" w:ascii="仿宋_GB2312" w:hAnsi="仿宋_GB2312" w:eastAsia="仿宋_GB2312" w:cs="仿宋_GB2312"/>
          <w:i w:val="0"/>
          <w:iCs w:val="0"/>
          <w:caps w:val="0"/>
          <w:color w:val="000000"/>
          <w:spacing w:val="0"/>
          <w:sz w:val="32"/>
          <w:szCs w:val="32"/>
          <w:shd w:val="clear" w:fill="FFFFFF"/>
        </w:rPr>
        <w:t>元（</w:t>
      </w:r>
      <w:r>
        <w:rPr>
          <w:rFonts w:hint="eastAsia" w:ascii="仿宋_GB2312" w:hAnsi="仿宋_GB2312" w:eastAsia="仿宋_GB2312" w:cs="仿宋_GB2312"/>
          <w:i w:val="0"/>
          <w:iCs w:val="0"/>
          <w:caps w:val="0"/>
          <w:color w:val="000000"/>
          <w:spacing w:val="0"/>
          <w:sz w:val="32"/>
          <w:szCs w:val="32"/>
          <w:shd w:val="clear" w:fill="FFFFFF"/>
          <w:lang w:val="en-US" w:eastAsia="zh-CN"/>
        </w:rPr>
        <w:t>壹拾陆万捌仟</w:t>
      </w:r>
      <w:r>
        <w:rPr>
          <w:rFonts w:hint="eastAsia" w:ascii="仿宋_GB2312" w:hAnsi="仿宋_GB2312" w:eastAsia="仿宋_GB2312" w:cs="仿宋_GB2312"/>
          <w:i w:val="0"/>
          <w:iCs w:val="0"/>
          <w:caps w:val="0"/>
          <w:color w:val="000000"/>
          <w:spacing w:val="0"/>
          <w:sz w:val="32"/>
          <w:szCs w:val="32"/>
          <w:shd w:val="clear" w:fill="FFFFFF"/>
        </w:rPr>
        <w:t>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四、承接主体资质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（一）具有独立承担民事责任的能力。具有有效的营业执照、税务登记证、组织机构代码证。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（二）投标人符合《中华人民共和国政府采购法》第二十二条规定的条件。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（三）投标人具备提供社会救助服务所需的设施、人员和专业技术。具有健全的内部管理结构、财务会计和资产管理制度。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（四）单位负责人为同一人或者存在直接控股、管理关系的不同供应商，不得参加同一合同项下的政府采购活动。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（五）本项目不接受联合体投标。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（六）参加采购活动近三年内</w:t>
      </w:r>
      <w:r>
        <w:rPr>
          <w:rFonts w:hint="eastAsia" w:ascii="仿宋_GB2312" w:hAnsi="仿宋_GB2312" w:eastAsia="仿宋_GB2312" w:cs="仿宋_GB2312"/>
          <w:i w:val="0"/>
          <w:iCs w:val="0"/>
          <w:caps w:val="0"/>
          <w:color w:val="000000"/>
          <w:spacing w:val="0"/>
          <w:sz w:val="32"/>
          <w:szCs w:val="32"/>
          <w:shd w:val="clear" w:fill="FFFFFF"/>
          <w:lang w:eastAsia="zh-CN"/>
        </w:rPr>
        <w:t>，</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在经营活动中没有重大违法记录的书面声明函、政府采购严重违法失信行为信息记录http://www.ccgp.gov.cn/cr/list、信用中国http://www.creditchina.gov.cn/二个网站查询无不良记录，并提供查询结果截图。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五、项目周期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项目执行周期为一年。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六、项目申报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裕民县民政局负责本次采购服务工作；符合申报资质条件的社会组织下载填报《</w:t>
      </w: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政府购买</w:t>
      </w:r>
      <w:r>
        <w:rPr>
          <w:rFonts w:hint="eastAsia" w:ascii="仿宋_GB2312" w:hAnsi="仿宋_GB2312" w:eastAsia="仿宋_GB2312" w:cs="仿宋_GB2312"/>
          <w:i w:val="0"/>
          <w:iCs w:val="0"/>
          <w:caps w:val="0"/>
          <w:color w:val="000000"/>
          <w:spacing w:val="0"/>
          <w:sz w:val="32"/>
          <w:szCs w:val="32"/>
          <w:shd w:val="clear" w:fill="FFFFFF"/>
          <w:lang w:val="en-US" w:eastAsia="zh-CN"/>
        </w:rPr>
        <w:t>特殊困难老年人家庭适老化改造</w:t>
      </w:r>
      <w:r>
        <w:rPr>
          <w:rFonts w:hint="eastAsia" w:ascii="仿宋_GB2312" w:hAnsi="仿宋_GB2312" w:eastAsia="仿宋_GB2312" w:cs="仿宋_GB2312"/>
          <w:i w:val="0"/>
          <w:iCs w:val="0"/>
          <w:caps w:val="0"/>
          <w:color w:val="000000"/>
          <w:spacing w:val="0"/>
          <w:sz w:val="32"/>
          <w:szCs w:val="32"/>
          <w:shd w:val="clear" w:fill="FFFFFF"/>
        </w:rPr>
        <w:t>服务项目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申报表》，符合承接条件且有参与意向的社会组织，自本公告发布之日起于2024年1月22日下午17:30前将《</w:t>
      </w: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政府购买</w:t>
      </w:r>
      <w:r>
        <w:rPr>
          <w:rFonts w:hint="eastAsia" w:ascii="仿宋_GB2312" w:hAnsi="仿宋_GB2312" w:eastAsia="仿宋_GB2312" w:cs="仿宋_GB2312"/>
          <w:i w:val="0"/>
          <w:iCs w:val="0"/>
          <w:caps w:val="0"/>
          <w:color w:val="000000"/>
          <w:spacing w:val="0"/>
          <w:sz w:val="32"/>
          <w:szCs w:val="32"/>
          <w:shd w:val="clear" w:fill="FFFFFF"/>
          <w:lang w:val="en-US" w:eastAsia="zh-CN"/>
        </w:rPr>
        <w:t>特殊困难老年人家庭适老化改造</w:t>
      </w:r>
      <w:r>
        <w:rPr>
          <w:rFonts w:hint="eastAsia" w:ascii="仿宋_GB2312" w:hAnsi="仿宋_GB2312" w:eastAsia="仿宋_GB2312" w:cs="仿宋_GB2312"/>
          <w:i w:val="0"/>
          <w:iCs w:val="0"/>
          <w:caps w:val="0"/>
          <w:color w:val="000000"/>
          <w:spacing w:val="0"/>
          <w:sz w:val="32"/>
          <w:szCs w:val="32"/>
          <w:shd w:val="clear" w:fill="FFFFFF"/>
        </w:rPr>
        <w:t>服务项目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申报表》和相关资质扫描件发送至邮alisheng6526715@qq.com。</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联系人：</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乌兰 13779222221.</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电话：</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0901-6525838，</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地址：</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裕民县巴尔鲁克西路23号政府1楼民政局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七、项目评审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（一）专家评审（202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年11月15日）。由购买方组建评审委员会，对所申报的项目进行综合审议，确定承接名单。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（二）公示公布（202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年11月16日）。将承接名单通过政府官网及相关媒体向社会公布，为期</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八、执行要求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项目承接主体要按照“专款专用、单独核算、注重绩效”的原则，建立健全项目专项财务管理和会计核算制度。加强对资金的管理，将资金纳入单位财务统一管理，单独核算，便于跟踪问效和监督检查。严格按照申报用途使用资金，保证项目资金的安全和正确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附件：《</w:t>
      </w:r>
      <w:r>
        <w:rPr>
          <w:rFonts w:hint="eastAsia" w:ascii="仿宋_GB2312" w:hAnsi="仿宋_GB2312" w:eastAsia="仿宋_GB2312" w:cs="仿宋_GB2312"/>
          <w:i w:val="0"/>
          <w:iCs w:val="0"/>
          <w:caps w:val="0"/>
          <w:color w:val="000000"/>
          <w:spacing w:val="0"/>
          <w:sz w:val="32"/>
          <w:szCs w:val="32"/>
          <w:shd w:val="clear" w:fill="FFFFFF"/>
          <w:lang w:eastAsia="zh-CN"/>
        </w:rPr>
        <w:t>裕民县</w:t>
      </w:r>
      <w:r>
        <w:rPr>
          <w:rFonts w:hint="eastAsia" w:ascii="仿宋_GB2312" w:hAnsi="仿宋_GB2312" w:eastAsia="仿宋_GB2312" w:cs="仿宋_GB2312"/>
          <w:i w:val="0"/>
          <w:iCs w:val="0"/>
          <w:caps w:val="0"/>
          <w:color w:val="000000"/>
          <w:spacing w:val="0"/>
          <w:sz w:val="32"/>
          <w:szCs w:val="32"/>
          <w:shd w:val="clear" w:fill="FFFFFF"/>
        </w:rPr>
        <w:t>政府购买</w:t>
      </w:r>
      <w:r>
        <w:rPr>
          <w:rFonts w:hint="eastAsia" w:ascii="仿宋_GB2312" w:hAnsi="仿宋_GB2312" w:eastAsia="仿宋_GB2312" w:cs="仿宋_GB2312"/>
          <w:i w:val="0"/>
          <w:iCs w:val="0"/>
          <w:caps w:val="0"/>
          <w:color w:val="000000"/>
          <w:spacing w:val="0"/>
          <w:sz w:val="32"/>
          <w:szCs w:val="32"/>
          <w:shd w:val="clear" w:fill="FFFFFF"/>
          <w:lang w:val="en-US" w:eastAsia="zh-CN"/>
        </w:rPr>
        <w:t>特殊困难老年人家庭适老化改造</w:t>
      </w:r>
      <w:r>
        <w:rPr>
          <w:rFonts w:hint="eastAsia" w:ascii="仿宋_GB2312" w:hAnsi="仿宋_GB2312" w:eastAsia="仿宋_GB2312" w:cs="仿宋_GB2312"/>
          <w:i w:val="0"/>
          <w:iCs w:val="0"/>
          <w:caps w:val="0"/>
          <w:color w:val="000000"/>
          <w:spacing w:val="0"/>
          <w:sz w:val="32"/>
          <w:szCs w:val="32"/>
          <w:shd w:val="clear" w:fill="FFFFFF"/>
        </w:rPr>
        <w:t>服务项目</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申报表</w:t>
      </w:r>
      <w:r>
        <w:rPr>
          <w:rFonts w:hint="eastAsia" w:ascii="仿宋_GB2312" w:hAnsi="仿宋_GB2312" w:eastAsia="仿宋_GB2312" w:cs="仿宋_GB2312"/>
          <w:i w:val="0"/>
          <w:iCs w:val="0"/>
          <w:caps w:val="0"/>
          <w:color w:val="000000"/>
          <w:spacing w:val="0"/>
          <w:sz w:val="32"/>
          <w:szCs w:val="32"/>
          <w:shd w:val="clear" w:fill="FFFFFF"/>
        </w:rPr>
        <w:t>》</w:t>
      </w:r>
    </w:p>
    <w:p>
      <w:pPr>
        <w:rPr>
          <w:rStyle w:val="8"/>
          <w:rFonts w:hint="eastAsia" w:ascii="方正小标宋简体" w:hAnsi="方正小标宋简体" w:eastAsia="方正小标宋简体" w:cs="方正小标宋简体"/>
          <w:i w:val="0"/>
          <w:iCs w:val="0"/>
          <w:caps w:val="0"/>
          <w:color w:val="333333"/>
          <w:spacing w:val="0"/>
          <w:sz w:val="44"/>
          <w:szCs w:val="44"/>
          <w:shd w:val="clear" w:fill="FFFFFF"/>
        </w:rPr>
      </w:pPr>
    </w:p>
    <w:p/>
    <w:p/>
    <w:p/>
    <w:p/>
    <w:p/>
    <w:p/>
    <w:p/>
    <w:p/>
    <w:p/>
    <w:p/>
    <w:p/>
    <w:p/>
    <w:p/>
    <w:p/>
    <w:p>
      <w:pPr>
        <w:keepNext w:val="0"/>
        <w:keepLines w:val="0"/>
        <w:pageBreakBefore w:val="0"/>
        <w:kinsoku/>
        <w:wordWrap/>
        <w:overflowPunct/>
        <w:topLinePunct w:val="0"/>
        <w:autoSpaceDE/>
        <w:autoSpaceDN/>
        <w:bidi w:val="0"/>
        <w:adjustRightInd/>
        <w:snapToGrid/>
        <w:spacing w:line="480" w:lineRule="atLeas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裕民县政府购买特殊困难老年人家庭适老化改造服务项目申报表</w:t>
      </w:r>
    </w:p>
    <w:tbl>
      <w:tblPr>
        <w:tblStyle w:val="5"/>
        <w:tblW w:w="89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11"/>
        <w:gridCol w:w="1614"/>
        <w:gridCol w:w="738"/>
        <w:gridCol w:w="454"/>
        <w:gridCol w:w="1206"/>
        <w:gridCol w:w="495"/>
        <w:gridCol w:w="383"/>
        <w:gridCol w:w="595"/>
        <w:gridCol w:w="729"/>
        <w:gridCol w:w="5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单位</w:t>
            </w:r>
            <w:r>
              <w:rPr>
                <w:rFonts w:hint="eastAsia" w:ascii="宋体" w:hAnsi="宋体" w:eastAsia="宋体" w:cs="宋体"/>
                <w:b/>
                <w:bCs/>
                <w:color w:val="000000"/>
                <w:kern w:val="0"/>
                <w:sz w:val="24"/>
                <w:szCs w:val="24"/>
                <w:lang w:val="en-US" w:eastAsia="zh-CN"/>
              </w:rPr>
              <w:t>名称</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统一社会信用代码</w:t>
            </w:r>
          </w:p>
        </w:tc>
        <w:tc>
          <w:tcPr>
            <w:tcW w:w="2806" w:type="dxa"/>
            <w:gridSpan w:val="3"/>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1206"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成立时间</w:t>
            </w:r>
          </w:p>
        </w:tc>
        <w:tc>
          <w:tcPr>
            <w:tcW w:w="878"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color w:val="000000"/>
                <w:kern w:val="0"/>
                <w:sz w:val="24"/>
                <w:szCs w:val="24"/>
                <w:lang w:val="en-US" w:eastAsia="zh-CN"/>
              </w:rPr>
            </w:pPr>
          </w:p>
        </w:tc>
        <w:tc>
          <w:tcPr>
            <w:tcW w:w="595"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年</w:t>
            </w:r>
          </w:p>
        </w:tc>
        <w:tc>
          <w:tcPr>
            <w:tcW w:w="72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574"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通讯地址</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曾获何种荣誉</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w:t>
            </w:r>
            <w:r>
              <w:rPr>
                <w:rFonts w:hint="eastAsia" w:ascii="宋体" w:hAnsi="宋体" w:eastAsia="宋体" w:cs="宋体"/>
                <w:b/>
                <w:bCs/>
                <w:color w:val="000000"/>
                <w:kern w:val="0"/>
                <w:sz w:val="24"/>
                <w:szCs w:val="24"/>
                <w:lang w:val="en-US" w:eastAsia="zh-CN"/>
              </w:rPr>
              <w:t>23</w:t>
            </w:r>
            <w:r>
              <w:rPr>
                <w:rFonts w:hint="eastAsia" w:ascii="宋体" w:hAnsi="宋体" w:eastAsia="宋体" w:cs="宋体"/>
                <w:b/>
                <w:bCs/>
                <w:color w:val="000000"/>
                <w:kern w:val="0"/>
                <w:sz w:val="24"/>
                <w:szCs w:val="24"/>
              </w:rPr>
              <w:t>年度年检结论</w:t>
            </w:r>
          </w:p>
        </w:tc>
        <w:tc>
          <w:tcPr>
            <w:tcW w:w="2352"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1660" w:type="dxa"/>
            <w:gridSpan w:val="2"/>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邮箱</w:t>
            </w:r>
          </w:p>
        </w:tc>
        <w:tc>
          <w:tcPr>
            <w:tcW w:w="2776" w:type="dxa"/>
            <w:gridSpan w:val="5"/>
            <w:shd w:val="clear" w:color="FFFFFF" w:fill="FFFFFF"/>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法人姓名</w:t>
            </w:r>
          </w:p>
        </w:tc>
        <w:tc>
          <w:tcPr>
            <w:tcW w:w="2352"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c>
          <w:tcPr>
            <w:tcW w:w="1660" w:type="dxa"/>
            <w:gridSpan w:val="2"/>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身份证号</w:t>
            </w:r>
          </w:p>
        </w:tc>
        <w:tc>
          <w:tcPr>
            <w:tcW w:w="2776" w:type="dxa"/>
            <w:gridSpan w:val="5"/>
            <w:shd w:val="clear" w:color="FFFFFF" w:fill="FFFFFF"/>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9"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服务领域</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实施地域</w:t>
            </w:r>
          </w:p>
        </w:tc>
        <w:tc>
          <w:tcPr>
            <w:tcW w:w="6788" w:type="dxa"/>
            <w:gridSpan w:val="9"/>
            <w:noWrap w:val="0"/>
            <w:vAlign w:val="bottom"/>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户名</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开户账号</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开户行</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税务登记证号</w:t>
            </w:r>
          </w:p>
        </w:tc>
        <w:tc>
          <w:tcPr>
            <w:tcW w:w="6788" w:type="dxa"/>
            <w:gridSpan w:val="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b/>
                <w:bCs/>
                <w:color w:val="000000"/>
                <w:kern w:val="0"/>
                <w:sz w:val="24"/>
                <w:szCs w:val="24"/>
              </w:rPr>
            </w:pPr>
          </w:p>
        </w:tc>
        <w:tc>
          <w:tcPr>
            <w:tcW w:w="1614" w:type="dxa"/>
            <w:shd w:val="clear" w:color="FFFFFF"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2893" w:type="dxa"/>
            <w:gridSpan w:val="4"/>
            <w:shd w:val="clear" w:color="FFFFFF"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电话</w:t>
            </w:r>
          </w:p>
        </w:tc>
        <w:tc>
          <w:tcPr>
            <w:tcW w:w="2281" w:type="dxa"/>
            <w:gridSpan w:val="4"/>
            <w:shd w:val="clear" w:color="FFFFFF"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项目负责人</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893" w:type="dxa"/>
            <w:gridSpan w:val="4"/>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281" w:type="dxa"/>
            <w:gridSpan w:val="4"/>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11" w:type="dxa"/>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480" w:lineRule="atLeas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项目联系人</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893" w:type="dxa"/>
            <w:gridSpan w:val="4"/>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c>
          <w:tcPr>
            <w:tcW w:w="2281" w:type="dxa"/>
            <w:gridSpan w:val="4"/>
            <w:noWrap w:val="0"/>
            <w:vAlign w:val="center"/>
          </w:tcPr>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宋体" w:hAnsi="宋体" w:eastAsia="宋体" w:cs="宋体"/>
                <w:color w:val="000000"/>
                <w:kern w:val="0"/>
                <w:sz w:val="24"/>
                <w:szCs w:val="24"/>
                <w:lang w:val="en-US" w:eastAsia="zh-CN"/>
              </w:rPr>
            </w:pPr>
          </w:p>
        </w:tc>
      </w:tr>
    </w:tbl>
    <w:p>
      <w:pPr>
        <w:keepNext w:val="0"/>
        <w:keepLines w:val="0"/>
        <w:pageBreakBefore w:val="0"/>
        <w:kinsoku/>
        <w:wordWrap/>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后附登记证书、开户许可证、法人身份证、本单位两名缴纳社保的社会工作师证明资料，加盖公章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31D2C"/>
    <w:multiLevelType w:val="singleLevel"/>
    <w:tmpl w:val="59931D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000000"/>
    <w:rsid w:val="03AB146A"/>
    <w:rsid w:val="0603785D"/>
    <w:rsid w:val="07664FDB"/>
    <w:rsid w:val="0D6A28D1"/>
    <w:rsid w:val="0F6217E5"/>
    <w:rsid w:val="128618B4"/>
    <w:rsid w:val="1362449D"/>
    <w:rsid w:val="1F5A789F"/>
    <w:rsid w:val="221703C6"/>
    <w:rsid w:val="27682409"/>
    <w:rsid w:val="289F30A3"/>
    <w:rsid w:val="2B5C3858"/>
    <w:rsid w:val="2BCB032F"/>
    <w:rsid w:val="2CA81109"/>
    <w:rsid w:val="2EAF6E65"/>
    <w:rsid w:val="309E681E"/>
    <w:rsid w:val="321B055C"/>
    <w:rsid w:val="340F7219"/>
    <w:rsid w:val="37916203"/>
    <w:rsid w:val="3C503F07"/>
    <w:rsid w:val="3C681E5D"/>
    <w:rsid w:val="402344AC"/>
    <w:rsid w:val="41784DC1"/>
    <w:rsid w:val="427250CD"/>
    <w:rsid w:val="43EC1833"/>
    <w:rsid w:val="4569639C"/>
    <w:rsid w:val="494D7C39"/>
    <w:rsid w:val="4C2E504B"/>
    <w:rsid w:val="4EFD231C"/>
    <w:rsid w:val="4F01659D"/>
    <w:rsid w:val="4F7D1CC6"/>
    <w:rsid w:val="568A60E8"/>
    <w:rsid w:val="59A93EA2"/>
    <w:rsid w:val="6E1A7B42"/>
    <w:rsid w:val="79500925"/>
    <w:rsid w:val="7BEE7067"/>
    <w:rsid w:val="7E06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21"/>
    <w:basedOn w:val="7"/>
    <w:autoRedefine/>
    <w:qFormat/>
    <w:uiPriority w:val="0"/>
    <w:rPr>
      <w:rFonts w:hint="default" w:ascii="方正仿宋_GBK" w:hAnsi="方正仿宋_GBK" w:eastAsia="方正仿宋_GBK" w:cs="方正仿宋_GBK"/>
      <w:b/>
      <w:color w:val="000000"/>
      <w:sz w:val="24"/>
      <w:szCs w:val="24"/>
      <w:u w:val="none"/>
    </w:rPr>
  </w:style>
  <w:style w:type="character" w:customStyle="1" w:styleId="10">
    <w:name w:val="font01"/>
    <w:basedOn w:val="7"/>
    <w:autoRedefine/>
    <w:qFormat/>
    <w:uiPriority w:val="0"/>
    <w:rPr>
      <w:rFonts w:hint="default" w:ascii="方正仿宋_GBK" w:hAnsi="方正仿宋_GBK" w:eastAsia="方正仿宋_GBK" w:cs="方正仿宋_GBK"/>
      <w:color w:val="000000"/>
      <w:sz w:val="24"/>
      <w:szCs w:val="24"/>
      <w:u w:val="none"/>
    </w:rPr>
  </w:style>
  <w:style w:type="character" w:customStyle="1" w:styleId="11">
    <w:name w:val="font11"/>
    <w:basedOn w:val="7"/>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2024-01-10T05:05:00Z</dcterms:created>
  <dc:creator>Administrator</dc:creator>
  <cp:lastModifiedBy>裴国强</cp:lastModifiedBy>
  <cp:lastPrinted>2024-01-11T02:55:00Z</cp:lastPrinted>
  <dcterms:modified xsi:type="dcterms:W3CDTF">2024-01-11T04:17:59Z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39749C0CCA8F408EBC7F93355D260F41_12</vt:lpwstr>
  </property>
</Properties>
</file>