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lang w:val="en-US" w:eastAsia="zh-CN"/>
        </w:rPr>
        <w:t>新疆塔城地区裕民县第一中学</w:t>
      </w:r>
      <w:r>
        <w:rPr>
          <w:rFonts w:hint="eastAsia" w:ascii="方正小标宋_GBK" w:hAnsi="宋体" w:eastAsia="方正小标宋_GBK"/>
          <w:color w:val="auto"/>
          <w:sz w:val="44"/>
          <w:szCs w:val="44"/>
        </w:rPr>
        <w:t>2021</w:t>
      </w:r>
      <w:r>
        <w:rPr>
          <w:rFonts w:hint="eastAsia" w:ascii="方正小标宋_GBK" w:hAnsi="宋体" w:eastAsia="方正小标宋_GBK"/>
          <w:color w:val="auto"/>
          <w:sz w:val="44"/>
          <w:szCs w:val="44"/>
          <w:highlight w:val="none"/>
        </w:rPr>
        <w:t>年度部门决算</w:t>
      </w: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rPr>
        <w:t>公开说明</w:t>
      </w:r>
    </w:p>
    <w:p>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color w:val="auto"/>
          <w:kern w:val="0"/>
          <w:sz w:val="32"/>
          <w:szCs w:val="32"/>
          <w:highlight w:val="none"/>
        </w:rPr>
      </w:pPr>
      <w:r>
        <w:rPr>
          <w:rFonts w:hint="eastAsia" w:ascii="方正小标宋_GBK" w:hAnsi="宋体" w:eastAsia="方正小标宋_GBK"/>
          <w:color w:val="auto"/>
          <w:sz w:val="44"/>
          <w:szCs w:val="44"/>
          <w:highlight w:val="none"/>
        </w:rPr>
        <w:br w:type="page"/>
      </w:r>
      <w:r>
        <w:rPr>
          <w:rFonts w:hint="eastAsia" w:ascii="仿宋_GB2312" w:hAnsi="仿宋_GB2312" w:eastAsia="仿宋_GB2312" w:cs="仿宋_GB2312"/>
          <w:b/>
          <w:bCs w:val="0"/>
          <w:color w:val="auto"/>
          <w:kern w:val="0"/>
          <w:sz w:val="36"/>
          <w:szCs w:val="36"/>
          <w:highlight w:val="none"/>
        </w:rPr>
        <w:t>目  录</w:t>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_Toc32314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部门单位概况</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_Toc30567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_Toc2151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_Toc29374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第二部分 部门决算情况说明</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_Toc25314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_Toc12142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_Toc13201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_Toc26564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_Toc20360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_Toc30870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七</w:t>
      </w:r>
      <w:r>
        <w:rPr>
          <w:rFonts w:hint="eastAsia" w:ascii="仿宋_GB2312" w:hAnsi="仿宋_GB2312" w:eastAsia="仿宋_GB2312" w:cs="仿宋_GB2312"/>
          <w:bCs/>
          <w:kern w:val="0"/>
          <w:sz w:val="32"/>
          <w:szCs w:val="32"/>
          <w:highlight w:val="none"/>
        </w:rPr>
        <w:t>、一般公共预算</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_Toc5810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八、政府性基金预算财政拨款收入支出决算情况说明</w:t>
      </w:r>
      <w:r>
        <w:rPr>
          <w:rFonts w:hint="eastAsia" w:ascii="仿宋_GB2312" w:hAnsi="仿宋_GB2312" w:eastAsia="仿宋_GB2312" w:cs="仿宋_GB2312"/>
          <w:sz w:val="32"/>
          <w:szCs w:val="32"/>
          <w:highlight w:val="none"/>
        </w:rPr>
        <w:fldChar w:fldCharType="end"/>
      </w:r>
    </w:p>
    <w:p>
      <w:pPr>
        <w:rPr>
          <w:rFonts w:hint="eastAsia"/>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_Toc5810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九、国有资本经营预算财政拨款收入支出决算情况说明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_Toc1235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_Toc14519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机关运行经费支出情况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_Toc8391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_Toc11283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十一、预算绩效的情况说明</w:t>
      </w:r>
      <w:r>
        <w:rPr>
          <w:rFonts w:hint="eastAsia" w:ascii="仿宋_GB2312" w:hAnsi="仿宋_GB2312" w:eastAsia="仿宋_GB2312" w:cs="仿宋_GB2312"/>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_Toc3250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第三部分 专业名词解释</w:t>
      </w:r>
      <w:r>
        <w:rPr>
          <w:rFonts w:hint="eastAsia" w:ascii="仿宋_GB2312" w:hAnsi="仿宋_GB2312" w:eastAsia="仿宋_GB2312" w:cs="仿宋_GB2312"/>
          <w:b/>
          <w:bCs/>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_Toc22784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_Toc2183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_Toc24532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_Toc32434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_Toc28786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_Toc14869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_Toc8884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_Toc29106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七、《一般公共预算财政拨款“三公”经费支出决算表》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Cs/>
          <w:kern w:val="0"/>
          <w:sz w:val="32"/>
          <w:szCs w:val="32"/>
          <w:highlight w:val="none"/>
        </w:rPr>
      </w:pPr>
      <w:r>
        <w:rPr>
          <w:rFonts w:hint="eastAsia" w:ascii="仿宋_GB2312" w:hAnsi="仿宋_GB2312" w:eastAsia="仿宋_GB2312" w:cs="仿宋_GB2312"/>
          <w:bCs/>
          <w:kern w:val="0"/>
          <w:sz w:val="32"/>
          <w:szCs w:val="32"/>
          <w:highlight w:val="none"/>
        </w:rPr>
        <w:fldChar w:fldCharType="begin"/>
      </w:r>
      <w:r>
        <w:rPr>
          <w:rFonts w:hint="eastAsia" w:ascii="仿宋_GB2312" w:hAnsi="仿宋_GB2312" w:eastAsia="仿宋_GB2312" w:cs="仿宋_GB2312"/>
          <w:bCs/>
          <w:kern w:val="0"/>
          <w:sz w:val="32"/>
          <w:szCs w:val="32"/>
          <w:highlight w:val="none"/>
        </w:rPr>
        <w:instrText xml:space="preserve"> HYPERLINK \l _Toc7643 </w:instrText>
      </w:r>
      <w:r>
        <w:rPr>
          <w:rFonts w:hint="eastAsia" w:ascii="仿宋_GB2312" w:hAnsi="仿宋_GB2312" w:eastAsia="仿宋_GB2312" w:cs="仿宋_GB2312"/>
          <w:bCs/>
          <w:kern w:val="0"/>
          <w:sz w:val="32"/>
          <w:szCs w:val="32"/>
          <w:highlight w:val="none"/>
        </w:rPr>
        <w:fldChar w:fldCharType="separate"/>
      </w:r>
      <w:r>
        <w:rPr>
          <w:rFonts w:hint="eastAsia" w:ascii="仿宋_GB2312" w:hAnsi="仿宋_GB2312" w:eastAsia="仿宋_GB2312" w:cs="仿宋_GB2312"/>
          <w:bCs/>
          <w:kern w:val="0"/>
          <w:sz w:val="32"/>
          <w:szCs w:val="32"/>
          <w:highlight w:val="none"/>
        </w:rPr>
        <w:t>八、《政府性基金预算财政拨款收入支出决算表》</w:t>
      </w:r>
      <w:r>
        <w:rPr>
          <w:rFonts w:hint="eastAsia" w:ascii="仿宋_GB2312" w:hAnsi="仿宋_GB2312" w:eastAsia="仿宋_GB2312" w:cs="仿宋_GB2312"/>
          <w:bCs/>
          <w:kern w:val="0"/>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Cs/>
          <w:kern w:val="0"/>
          <w:sz w:val="32"/>
          <w:szCs w:val="32"/>
          <w:highlight w:val="none"/>
          <w:lang w:eastAsia="zh-CN"/>
        </w:rPr>
      </w:pPr>
      <w:r>
        <w:rPr>
          <w:rFonts w:hint="eastAsia" w:ascii="仿宋_GB2312" w:hAnsi="仿宋_GB2312" w:eastAsia="仿宋_GB2312" w:cs="仿宋_GB2312"/>
          <w:bCs/>
          <w:kern w:val="0"/>
          <w:sz w:val="32"/>
          <w:szCs w:val="32"/>
          <w:highlight w:val="none"/>
          <w:lang w:eastAsia="zh-CN"/>
        </w:rPr>
        <w:t>九、《国有资本经营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bCs/>
          <w:kern w:val="0"/>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ind w:left="0" w:leftChars="0"/>
        <w:jc w:val="both"/>
        <w:textAlignment w:val="auto"/>
        <w:rPr>
          <w:color w:val="auto"/>
          <w:highlight w:val="none"/>
        </w:rPr>
      </w:pPr>
      <w:r>
        <w:rPr>
          <w:rFonts w:hint="eastAsia" w:ascii="仿宋_GB2312" w:hAnsi="仿宋_GB2312" w:eastAsia="仿宋_GB2312" w:cs="仿宋_GB2312"/>
          <w:sz w:val="32"/>
          <w:szCs w:val="32"/>
          <w:highlight w:val="none"/>
        </w:rPr>
        <w:fldChar w:fldCharType="end"/>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color w:val="auto"/>
          <w:sz w:val="32"/>
          <w:szCs w:val="32"/>
          <w:highlight w:val="none"/>
        </w:rPr>
      </w:pPr>
      <w:r>
        <w:rPr>
          <w:rFonts w:hint="eastAsia" w:ascii="仿宋_GB2312" w:eastAsia="仿宋_GB2312"/>
          <w:color w:val="auto"/>
          <w:sz w:val="32"/>
          <w:szCs w:val="32"/>
          <w:highlight w:val="none"/>
        </w:rPr>
        <w:br w:type="page"/>
      </w:r>
      <w:bookmarkStart w:id="0" w:name="_Toc24028"/>
      <w:bookmarkStart w:id="1" w:name="_Toc32314"/>
      <w:r>
        <w:rPr>
          <w:rFonts w:hint="eastAsia" w:ascii="黑体" w:hAnsi="黑体" w:eastAsia="黑体"/>
          <w:color w:val="auto"/>
          <w:sz w:val="32"/>
          <w:szCs w:val="32"/>
          <w:highlight w:val="none"/>
        </w:rPr>
        <w:t>第一部分 部门单位概况</w:t>
      </w:r>
      <w:bookmarkEnd w:id="0"/>
      <w:bookmarkEnd w:id="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ascii="黑体" w:hAnsi="黑体" w:eastAsia="黑体" w:cs="宋体"/>
          <w:bCs/>
          <w:color w:val="auto"/>
          <w:kern w:val="0"/>
          <w:sz w:val="32"/>
          <w:szCs w:val="32"/>
          <w:highlight w:val="none"/>
        </w:rPr>
      </w:pPr>
      <w:bookmarkStart w:id="2" w:name="_Toc30567"/>
      <w:bookmarkStart w:id="3" w:name="_Toc30738"/>
      <w:r>
        <w:rPr>
          <w:rFonts w:hint="eastAsia" w:ascii="黑体" w:hAnsi="黑体" w:eastAsia="黑体" w:cs="宋体"/>
          <w:bCs/>
          <w:color w:val="auto"/>
          <w:kern w:val="0"/>
          <w:sz w:val="32"/>
          <w:szCs w:val="32"/>
          <w:highlight w:val="none"/>
        </w:rPr>
        <w:t>一、主要职能</w:t>
      </w:r>
      <w:bookmarkEnd w:id="2"/>
      <w:bookmarkEnd w:id="3"/>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教书育人，完成初级中学九年义务教育和高中教育工作。全面负责学校工作,认真贯彻落实党和国家的方针、政策,正确执行上级主管部门的决议和指示,全面实施素质教育,培养德、智、体、美等方面全面发展的社会主义事业的建设者和接班人。管理学校教育经费，负责和指导学校教职工的思想政治工作规划、学校品德教育、体育卫生教育、艺术教育工作。加强学校的科学化管理，制定和健全各项规章制度，规范办学行为，培养良好校风，逐步实现管理决策的科学化，管理方法的定量化和管理手段的现代化。负责教师队伍建设工作，决定校内教职工的工作安排，组织对教职工进行考核，实施奖惩、制定教师队伍建设规划，不断提高他们的政治素质、文化业务水平和科研水平。领导和组织学校的思想政治工作，把德育工作放在首位。研究思想政治工作的要求、内容、方法和规律，不断加强对学生的思想政治、法制纪律和道德品质教育以及做好管理工作。教育全体教职工做到教书育人、管理育人、服务育人，搞好学校、社会、家庭三结合教育。负责领导和组织学校的教学工作，坚持以教学为中心，保证教学计划的贯彻执行。要有计划地参加教研活动，有目的地深入教学第一线，了解教师教学和学生学习情况要大力推进教学改革，加强科研工作的组织领导。有计划组织质量检查、分析，提出提高教学质量的方法。组织制定和实施校舍建设和校园建设规划，加强对财务工作的领导，正确使用各项经费，不断改善办学条件，强化安全工作管理，创造良好的育人环境。改善教职工的福利生活，提高福利待遇，努力解除教职工的后顾之忧。加强与党支部的合作，主动接受学校党组织的监督搞好领导班子的团结和协作。</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4" w:name="_Toc31238"/>
      <w:bookmarkStart w:id="5" w:name="_Toc2151"/>
      <w:r>
        <w:rPr>
          <w:rFonts w:hint="eastAsia" w:ascii="黑体" w:hAnsi="黑体" w:eastAsia="黑体" w:cs="宋体"/>
          <w:bCs/>
          <w:color w:val="auto"/>
          <w:kern w:val="0"/>
          <w:sz w:val="32"/>
          <w:szCs w:val="32"/>
          <w:highlight w:val="none"/>
        </w:rPr>
        <w:t>二、机构设置</w:t>
      </w:r>
      <w:r>
        <w:rPr>
          <w:rFonts w:hint="eastAsia" w:ascii="黑体" w:hAnsi="黑体" w:eastAsia="黑体" w:cs="宋体"/>
          <w:bCs/>
          <w:color w:val="auto"/>
          <w:kern w:val="0"/>
          <w:sz w:val="32"/>
          <w:szCs w:val="32"/>
          <w:highlight w:val="none"/>
          <w:lang w:eastAsia="zh-CN"/>
        </w:rPr>
        <w:t>及</w:t>
      </w:r>
      <w:bookmarkEnd w:id="4"/>
      <w:r>
        <w:rPr>
          <w:rFonts w:hint="eastAsia" w:ascii="黑体" w:hAnsi="黑体" w:eastAsia="黑体" w:cs="宋体"/>
          <w:bCs/>
          <w:color w:val="auto"/>
          <w:kern w:val="0"/>
          <w:sz w:val="32"/>
          <w:szCs w:val="32"/>
          <w:highlight w:val="none"/>
          <w:lang w:eastAsia="zh-CN"/>
        </w:rPr>
        <w:t>人员</w:t>
      </w:r>
      <w:r>
        <w:rPr>
          <w:rFonts w:hint="eastAsia" w:ascii="黑体" w:hAnsi="黑体" w:eastAsia="黑体" w:cs="宋体"/>
          <w:bCs/>
          <w:color w:val="auto"/>
          <w:kern w:val="0"/>
          <w:sz w:val="32"/>
          <w:szCs w:val="32"/>
          <w:highlight w:val="none"/>
        </w:rPr>
        <w:t>情况</w:t>
      </w:r>
      <w:bookmarkEnd w:id="5"/>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新疆塔城地区裕民县第一中学2021年度，实有人数177人，其中：在职人员97人，离休人员0人，退休人员80人。</w:t>
      </w: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default" w:ascii="仿宋_GB2312" w:eastAsia="仿宋_GB2312"/>
          <w:color w:val="auto"/>
          <w:sz w:val="32"/>
          <w:szCs w:val="32"/>
          <w:highlight w:val="none"/>
          <w:lang w:val="en-US" w:eastAsia="zh-CN"/>
        </w:rPr>
      </w:pP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从部门决算单位构成看，新疆塔城地区裕民县第一中学部门决算包括：新疆塔城地区裕民县第一中学决算。单位无下属预算单位，下设6个处室，分别是：教研室、德育室、办公室、总务处、工会室、财务室。</w:t>
      </w: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default" w:ascii="仿宋_GB2312" w:eastAsia="仿宋_GB2312"/>
          <w:color w:val="auto"/>
          <w:sz w:val="32"/>
          <w:szCs w:val="32"/>
          <w:highlight w:val="none"/>
          <w:lang w:val="en-US" w:eastAsia="zh-CN"/>
        </w:rPr>
      </w:pPr>
    </w:p>
    <w:p>
      <w:pPr>
        <w:keepNext w:val="0"/>
        <w:keepLines w:val="0"/>
        <w:pageBreakBefore w:val="0"/>
        <w:widowControl w:val="0"/>
        <w:kinsoku/>
        <w:wordWrap/>
        <w:overflowPunct/>
        <w:topLinePunct w:val="0"/>
        <w:bidi w:val="0"/>
        <w:adjustRightInd/>
        <w:snapToGrid/>
        <w:spacing w:line="240" w:lineRule="auto"/>
        <w:jc w:val="both"/>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br w:type="page"/>
      </w:r>
    </w:p>
    <w:p>
      <w:pPr>
        <w:keepNext w:val="0"/>
        <w:keepLines w:val="0"/>
        <w:pageBreakBefore w:val="0"/>
        <w:widowControl w:val="0"/>
        <w:kinsoku/>
        <w:wordWrap/>
        <w:overflowPunct/>
        <w:topLinePunct w:val="0"/>
        <w:autoSpaceDE/>
        <w:autoSpaceDN/>
        <w:bidi w:val="0"/>
        <w:adjustRightInd/>
        <w:snapToGrid/>
        <w:spacing w:line="240" w:lineRule="auto"/>
        <w:ind w:left="1680" w:leftChars="0" w:firstLine="420" w:firstLineChars="0"/>
        <w:jc w:val="both"/>
        <w:textAlignment w:val="auto"/>
        <w:outlineLvl w:val="0"/>
        <w:rPr>
          <w:rFonts w:hint="eastAsia" w:ascii="黑体" w:hAnsi="黑体" w:eastAsia="黑体"/>
          <w:color w:val="auto"/>
          <w:sz w:val="32"/>
          <w:szCs w:val="32"/>
          <w:highlight w:val="none"/>
        </w:rPr>
      </w:pPr>
      <w:r>
        <w:rPr>
          <w:rFonts w:hint="eastAsia" w:ascii="黑体" w:hAnsi="黑体" w:eastAsia="黑体"/>
          <w:color w:val="auto"/>
          <w:sz w:val="32"/>
          <w:szCs w:val="32"/>
          <w:highlight w:val="none"/>
        </w:rPr>
        <w:t>第二部分 部门决算情况说明</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6" w:name="_Toc25314"/>
      <w:bookmarkStart w:id="7" w:name="_Toc12566"/>
      <w:r>
        <w:rPr>
          <w:rFonts w:hint="eastAsia" w:ascii="黑体" w:hAnsi="黑体" w:eastAsia="黑体" w:cs="宋体"/>
          <w:bCs/>
          <w:color w:val="auto"/>
          <w:kern w:val="0"/>
          <w:sz w:val="32"/>
          <w:szCs w:val="32"/>
          <w:highlight w:val="none"/>
        </w:rPr>
        <w:t>一、收入支出决算总体情况说明</w:t>
      </w:r>
      <w:bookmarkEnd w:id="6"/>
      <w:bookmarkEnd w:id="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b w:val="0"/>
          <w:bCs w:val="0"/>
          <w:color w:val="auto"/>
          <w:sz w:val="32"/>
          <w:szCs w:val="32"/>
          <w:highlight w:val="none"/>
          <w:lang w:eastAsia="zh-CN"/>
        </w:rPr>
      </w:pPr>
      <w:r>
        <w:rPr>
          <w:rFonts w:hint="eastAsia" w:ascii="仿宋_GB2312" w:eastAsia="仿宋_GB2312"/>
          <w:b w:val="0"/>
          <w:bCs w:val="0"/>
          <w:color w:val="auto"/>
          <w:spacing w:val="0"/>
          <w:sz w:val="32"/>
          <w:szCs w:val="32"/>
          <w:highlight w:val="none"/>
          <w:lang w:val="en-US" w:eastAsia="zh-CN"/>
        </w:rPr>
        <w:t>2021年度本年收入1,812.55万元，与上年相比，减少51.49万元，降低2.76%</w:t>
      </w:r>
      <w:r>
        <w:rPr>
          <w:rFonts w:hint="eastAsia" w:ascii="仿宋_GB2312" w:eastAsia="仿宋_GB2312"/>
          <w:b w:val="0"/>
          <w:bCs w:val="0"/>
          <w:color w:val="auto"/>
          <w:sz w:val="32"/>
          <w:szCs w:val="32"/>
          <w:highlight w:val="none"/>
          <w:lang w:eastAsia="zh-CN"/>
        </w:rPr>
        <w:t>，主要原因是</w:t>
      </w:r>
      <w:r>
        <w:rPr>
          <w:rFonts w:hint="eastAsia" w:ascii="仿宋_GB2312" w:eastAsia="仿宋_GB2312"/>
          <w:b w:val="0"/>
          <w:bCs w:val="0"/>
          <w:color w:val="auto"/>
          <w:sz w:val="32"/>
          <w:szCs w:val="32"/>
          <w:highlight w:val="none"/>
        </w:rPr>
        <w:t>：</w:t>
      </w:r>
      <w:r>
        <w:rPr>
          <w:rFonts w:hint="eastAsia" w:ascii="仿宋_GB2312" w:eastAsia="仿宋_GB2312"/>
          <w:b w:val="0"/>
          <w:bCs w:val="0"/>
          <w:color w:val="auto"/>
          <w:sz w:val="32"/>
          <w:szCs w:val="32"/>
          <w:highlight w:val="none"/>
          <w:lang w:val="en-US" w:eastAsia="zh-CN"/>
        </w:rPr>
        <w:t>项目资金收入减少，电视广播大学资金挪走，没有事业收入</w:t>
      </w:r>
      <w:r>
        <w:rPr>
          <w:rFonts w:hint="eastAsia" w:ascii="仿宋_GB2312" w:eastAsia="仿宋_GB2312"/>
          <w:b w:val="0"/>
          <w:bCs w:val="0"/>
          <w:color w:val="auto"/>
          <w:sz w:val="32"/>
          <w:szCs w:val="32"/>
          <w:highlight w:val="none"/>
          <w:lang w:eastAsia="zh-CN"/>
        </w:rPr>
        <w:t>。</w:t>
      </w:r>
      <w:r>
        <w:rPr>
          <w:rFonts w:hint="eastAsia" w:ascii="仿宋_GB2312" w:eastAsia="仿宋_GB2312"/>
          <w:b w:val="0"/>
          <w:bCs w:val="0"/>
          <w:color w:val="auto"/>
          <w:sz w:val="32"/>
          <w:szCs w:val="32"/>
          <w:highlight w:val="none"/>
          <w:lang w:val="en-US" w:eastAsia="zh-CN"/>
        </w:rPr>
        <w:t>本年支出1,812.55万元，与上年相比，减少131.54万元，降低6.77%</w:t>
      </w:r>
      <w:r>
        <w:rPr>
          <w:rFonts w:hint="eastAsia" w:ascii="仿宋_GB2312" w:eastAsia="仿宋_GB2312"/>
          <w:b w:val="0"/>
          <w:bCs w:val="0"/>
          <w:color w:val="auto"/>
          <w:sz w:val="32"/>
          <w:szCs w:val="32"/>
          <w:highlight w:val="none"/>
          <w:lang w:eastAsia="zh-CN"/>
        </w:rPr>
        <w:t>，主要原因是</w:t>
      </w:r>
      <w:r>
        <w:rPr>
          <w:rFonts w:hint="eastAsia" w:ascii="仿宋_GB2312" w:eastAsia="仿宋_GB2312"/>
          <w:b w:val="0"/>
          <w:bCs w:val="0"/>
          <w:color w:val="auto"/>
          <w:sz w:val="32"/>
          <w:szCs w:val="32"/>
          <w:highlight w:val="none"/>
        </w:rPr>
        <w:t>：</w:t>
      </w:r>
      <w:r>
        <w:rPr>
          <w:rFonts w:hint="eastAsia" w:ascii="仿宋_GB2312" w:eastAsia="仿宋_GB2312"/>
          <w:b w:val="0"/>
          <w:bCs w:val="0"/>
          <w:color w:val="auto"/>
          <w:sz w:val="32"/>
          <w:szCs w:val="32"/>
          <w:highlight w:val="none"/>
          <w:lang w:val="en-US" w:eastAsia="zh-CN"/>
        </w:rPr>
        <w:t>项目资金支出减少，电大移交党校，教育收费资金减少，支出也减少</w:t>
      </w:r>
      <w:r>
        <w:rPr>
          <w:rFonts w:hint="eastAsia" w:ascii="仿宋_GB2312" w:eastAsia="仿宋_GB2312"/>
          <w:b w:val="0"/>
          <w:bCs w:val="0"/>
          <w:color w:val="auto"/>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8" w:name="_Toc1979"/>
      <w:bookmarkStart w:id="9" w:name="_Toc12142"/>
      <w:r>
        <w:rPr>
          <w:rFonts w:hint="eastAsia" w:ascii="黑体" w:hAnsi="黑体" w:eastAsia="黑体" w:cs="宋体"/>
          <w:bCs/>
          <w:color w:val="auto"/>
          <w:kern w:val="0"/>
          <w:sz w:val="32"/>
          <w:szCs w:val="32"/>
          <w:highlight w:val="none"/>
          <w:lang w:eastAsia="zh-CN"/>
        </w:rPr>
        <w:t>二、</w:t>
      </w:r>
      <w:r>
        <w:rPr>
          <w:rFonts w:hint="eastAsia" w:ascii="黑体" w:hAnsi="黑体" w:eastAsia="黑体" w:cs="宋体"/>
          <w:bCs/>
          <w:color w:val="auto"/>
          <w:kern w:val="0"/>
          <w:sz w:val="32"/>
          <w:szCs w:val="32"/>
          <w:highlight w:val="none"/>
        </w:rPr>
        <w:t>收入</w:t>
      </w:r>
      <w:r>
        <w:rPr>
          <w:rFonts w:hint="eastAsia" w:ascii="黑体" w:hAnsi="黑体" w:eastAsia="黑体" w:cs="宋体"/>
          <w:bCs/>
          <w:color w:val="auto"/>
          <w:kern w:val="0"/>
          <w:sz w:val="32"/>
          <w:szCs w:val="32"/>
          <w:highlight w:val="none"/>
          <w:lang w:eastAsia="zh-CN"/>
        </w:rPr>
        <w:t>决算</w:t>
      </w:r>
      <w:r>
        <w:rPr>
          <w:rFonts w:hint="eastAsia" w:ascii="黑体" w:hAnsi="黑体" w:eastAsia="黑体" w:cs="宋体"/>
          <w:bCs/>
          <w:color w:val="auto"/>
          <w:kern w:val="0"/>
          <w:sz w:val="32"/>
          <w:szCs w:val="32"/>
          <w:highlight w:val="none"/>
        </w:rPr>
        <w:t>情况说明</w:t>
      </w:r>
      <w:bookmarkEnd w:id="8"/>
      <w:bookmarkEnd w:id="9"/>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pacing w:val="0"/>
          <w:sz w:val="32"/>
          <w:szCs w:val="32"/>
          <w:highlight w:val="none"/>
          <w:lang w:val="en-US" w:eastAsia="zh-CN"/>
        </w:rPr>
        <w:t>2021年度本年收入1,812.55万元，其中：财政拨款收入1,812.02万元，占99.97%；上级补助收入0.00万元，占0.00%；事业收入0.00万元，占0.00%；经营收入0.00万元，占0.00%；附属单位上缴收入0.00万元，占0.00%；其他收入0.54万元，占0.03%。</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0" w:name="_Toc13201"/>
      <w:bookmarkStart w:id="11" w:name="_Toc27961"/>
      <w:r>
        <w:rPr>
          <w:rFonts w:hint="eastAsia" w:ascii="黑体" w:hAnsi="黑体" w:eastAsia="黑体" w:cs="宋体"/>
          <w:bCs/>
          <w:color w:val="auto"/>
          <w:kern w:val="0"/>
          <w:sz w:val="32"/>
          <w:szCs w:val="32"/>
          <w:highlight w:val="none"/>
          <w:lang w:eastAsia="zh-CN"/>
        </w:rPr>
        <w:t>三、支出决算情况说明</w:t>
      </w:r>
      <w:bookmarkEnd w:id="10"/>
      <w:bookmarkEnd w:id="1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color w:val="auto"/>
          <w:sz w:val="32"/>
          <w:szCs w:val="32"/>
          <w:highlight w:val="none"/>
          <w:lang w:eastAsia="zh-CN"/>
        </w:rPr>
      </w:pPr>
      <w:r>
        <w:rPr>
          <w:rFonts w:hint="eastAsia" w:ascii="仿宋_GB2312" w:eastAsia="仿宋_GB2312"/>
          <w:color w:val="auto"/>
          <w:spacing w:val="0"/>
          <w:sz w:val="32"/>
          <w:szCs w:val="32"/>
          <w:highlight w:val="none"/>
          <w:lang w:val="en-US" w:eastAsia="zh-CN"/>
        </w:rPr>
        <w:t>2021年度本年支出1,812.55万元，其中：基本支出1,602.13万元，占88.39%；项目支出210.43万元，占11.61%；上缴上级支出0.00万元，占0.00%；经营支出0.00万元，占0.00%；对附属单位补助支出0.00万元，占0.00%。</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2" w:name="_Toc4393"/>
      <w:bookmarkStart w:id="13" w:name="_Toc26564"/>
      <w:r>
        <w:rPr>
          <w:rFonts w:hint="eastAsia" w:ascii="黑体" w:hAnsi="黑体" w:eastAsia="黑体" w:cs="宋体"/>
          <w:bCs/>
          <w:color w:val="auto"/>
          <w:kern w:val="0"/>
          <w:sz w:val="32"/>
          <w:szCs w:val="32"/>
          <w:highlight w:val="none"/>
          <w:lang w:eastAsia="zh-CN"/>
        </w:rPr>
        <w:t>四、财政拨款收入支出决算总体情况说明</w:t>
      </w:r>
      <w:bookmarkEnd w:id="12"/>
      <w:bookmarkEnd w:id="1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val="en-US" w:eastAsia="zh-CN"/>
        </w:rPr>
        <w:t>2021 年度财政拨款收入 1.812.02 万元，与上年相比</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val="en-US" w:eastAsia="zh-CN"/>
        </w:rPr>
        <w:t>减少 40.71 万元，降低 2.20%。主要原因是:项目完成，对应项目资金收支减少。财政拨款支出 1,812.02 万元,与上年相比,减少 120.76万元，降低 6.25%，主要原因是:项目已完成，对应项目资金支出减少。</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val="en-US" w:eastAsia="zh-CN"/>
        </w:rPr>
        <w:t>与年初预算数相比情况:财政拨款收入年初预算数1,744.21 万元，决算数 1,812.02 万元，预决算差异率3.89%,主要原因是:因为人员增资，工资津贴机关养老缴费等各项人员经费均上调，所以支出决算执行数大于预算数。财政拨款支出年初预算数 1,744.21 万元，决算数 1,812.02万元，预决算差异率 3.89%,主要原因是: 因为人员增资，工资津贴机关养老缴费等各项人员经费均上调，所以支出决算执行数大于预算数。</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4" w:name="_Toc13833"/>
      <w:bookmarkStart w:id="15" w:name="_Toc20360"/>
      <w:r>
        <w:rPr>
          <w:rFonts w:hint="eastAsia" w:ascii="黑体" w:hAnsi="黑体" w:eastAsia="黑体" w:cs="宋体"/>
          <w:bCs/>
          <w:color w:val="auto"/>
          <w:kern w:val="0"/>
          <w:sz w:val="32"/>
          <w:szCs w:val="32"/>
          <w:highlight w:val="none"/>
          <w:lang w:eastAsia="zh-CN"/>
        </w:rPr>
        <w:t>五、一般公共预算财政拨款支出决算情况说明</w:t>
      </w:r>
      <w:bookmarkEnd w:id="14"/>
      <w:bookmarkEnd w:id="15"/>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pacing w:val="0"/>
          <w:sz w:val="32"/>
          <w:szCs w:val="32"/>
          <w:highlight w:val="none"/>
          <w:lang w:val="en-US" w:eastAsia="zh-CN"/>
        </w:rPr>
        <w:t>2021年度一般公共预算财政拨款支出1,812.02万元。按功能分类科目项级科目公开，其中：</w:t>
      </w:r>
    </w:p>
    <w:p>
      <w:pPr>
        <w:keepNext w:val="0"/>
        <w:keepLines w:val="0"/>
        <w:pageBreakBefore w:val="0"/>
        <w:widowControl w:val="0"/>
        <w:kinsoku/>
        <w:wordWrap/>
        <w:overflowPunct/>
        <w:topLinePunct w:val="0"/>
        <w:bidi w:val="0"/>
        <w:adjustRightInd/>
        <w:snapToGrid/>
        <w:spacing w:line="240" w:lineRule="auto"/>
        <w:textAlignment w:val="auto"/>
        <w:rPr>
          <w:rFonts w:hint="default" w:ascii="仿宋_GB2312" w:eastAsia="仿宋_GB2312"/>
          <w:b/>
          <w:bCs/>
          <w:color w:val="auto"/>
          <w:sz w:val="32"/>
          <w:szCs w:val="32"/>
          <w:highlight w:val="none"/>
          <w:lang w:val="en-US" w:eastAsia="zh-CN"/>
        </w:rPr>
      </w:pPr>
      <w:r>
        <w:rPr>
          <w:rFonts w:hint="eastAsia" w:ascii="仿宋_GB2312" w:eastAsia="仿宋_GB2312"/>
          <w:color w:val="auto"/>
          <w:sz w:val="32"/>
          <w:szCs w:val="32"/>
          <w:highlight w:val="none"/>
          <w:lang w:val="en-US" w:eastAsia="zh-CN"/>
        </w:rPr>
        <w:t xml:space="preserve">    2050203 初中教育1,183.77万元;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2050204 高中教育297.17万元;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2080502 事业单位离退休0.10万元;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2080505 机关事业单位基本养老保险缴费支出134.75万元;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2080506 机关事业单位职业年金缴费支出19.03万元;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2101102 事业单位医疗78.33万元;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2210201 住房公积金97.01万元;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2299999 其他支出1.86万元</w:t>
      </w:r>
      <w:r>
        <w:rPr>
          <w:rFonts w:hint="eastAsia" w:ascii="仿宋_GB2312" w:eastAsia="仿宋_GB2312"/>
          <w:color w:val="auto"/>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6" w:name="_Toc30870"/>
      <w:bookmarkStart w:id="17" w:name="_Toc11146"/>
      <w:r>
        <w:rPr>
          <w:rFonts w:hint="eastAsia" w:ascii="黑体" w:hAnsi="黑体" w:eastAsia="黑体" w:cs="宋体"/>
          <w:bCs/>
          <w:color w:val="auto"/>
          <w:kern w:val="0"/>
          <w:sz w:val="32"/>
          <w:szCs w:val="32"/>
          <w:highlight w:val="none"/>
          <w:lang w:eastAsia="zh-CN"/>
        </w:rPr>
        <w:t>六、一般公共预算财政拨款基本支出决算情况说明</w:t>
      </w:r>
      <w:bookmarkEnd w:id="16"/>
      <w:bookmarkEnd w:id="17"/>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val="en-US" w:eastAsia="zh-CN"/>
        </w:rPr>
        <w:t>2021年度一般公共预算财政拨款基本支出1,601.59万元，其中：</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人员经费1,544.98万元，包括：基本工资528.28万元、津贴补贴445.56万元、奖金126.08万元、机关事业单位基本养老保险缴费134.75万元、职业年金缴费19.03万元、职工基本医疗保险缴费78.33万元、其他社会保障缴费65.82万元、住房公积金97.01万元、其他工资福利支出22.4万元、退休费3.2万元、生活补助24.52万元。</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val="en-US" w:eastAsia="zh-CN"/>
        </w:rPr>
        <w:t>公用经费56.61万元，包括：电费3.87万元、办公费17.53万元、印刷费1.29万元、水费4.9万元、邮电费3.36万元、培训费0.34万元、专用材料费0.36万元、工会经费17.18万元、福利费7.8万元。</w:t>
      </w:r>
      <w:bookmarkStart w:id="52" w:name="_GoBack"/>
      <w:bookmarkEnd w:id="52"/>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8" w:name="_Toc7190"/>
      <w:bookmarkStart w:id="19" w:name="_Toc21518"/>
      <w:r>
        <w:rPr>
          <w:rFonts w:hint="eastAsia" w:ascii="黑体" w:hAnsi="黑体" w:eastAsia="黑体" w:cs="宋体"/>
          <w:bCs/>
          <w:color w:val="auto"/>
          <w:kern w:val="0"/>
          <w:sz w:val="32"/>
          <w:szCs w:val="32"/>
          <w:highlight w:val="none"/>
          <w:lang w:eastAsia="zh-CN"/>
        </w:rPr>
        <w:t>七</w:t>
      </w:r>
      <w:r>
        <w:rPr>
          <w:rFonts w:hint="eastAsia" w:ascii="黑体" w:hAnsi="黑体" w:eastAsia="黑体" w:cs="宋体"/>
          <w:bCs/>
          <w:color w:val="auto"/>
          <w:kern w:val="0"/>
          <w:sz w:val="32"/>
          <w:szCs w:val="32"/>
          <w:highlight w:val="none"/>
        </w:rPr>
        <w:t>、一般公共预算</w:t>
      </w:r>
      <w:r>
        <w:rPr>
          <w:rFonts w:hint="eastAsia" w:ascii="黑体" w:hAnsi="黑体" w:eastAsia="黑体" w:cs="宋体"/>
          <w:bCs/>
          <w:color w:val="auto"/>
          <w:kern w:val="0"/>
          <w:sz w:val="32"/>
          <w:szCs w:val="32"/>
          <w:highlight w:val="none"/>
          <w:lang w:eastAsia="zh-CN"/>
        </w:rPr>
        <w:t>财政拨款</w:t>
      </w:r>
      <w:r>
        <w:rPr>
          <w:rFonts w:hint="eastAsia" w:ascii="黑体" w:hAnsi="黑体" w:eastAsia="黑体" w:cs="宋体"/>
          <w:bCs/>
          <w:color w:val="auto"/>
          <w:kern w:val="0"/>
          <w:sz w:val="32"/>
          <w:szCs w:val="32"/>
          <w:highlight w:val="none"/>
        </w:rPr>
        <w:t>“三公”经费支出</w:t>
      </w:r>
      <w:r>
        <w:rPr>
          <w:rFonts w:hint="eastAsia" w:ascii="黑体" w:hAnsi="黑体" w:eastAsia="黑体" w:cs="宋体"/>
          <w:bCs/>
          <w:color w:val="auto"/>
          <w:kern w:val="0"/>
          <w:sz w:val="32"/>
          <w:szCs w:val="32"/>
          <w:highlight w:val="none"/>
          <w:lang w:eastAsia="zh-CN"/>
        </w:rPr>
        <w:t>决算</w:t>
      </w:r>
      <w:r>
        <w:rPr>
          <w:rFonts w:hint="eastAsia" w:ascii="黑体" w:hAnsi="黑体" w:eastAsia="黑体" w:cs="宋体"/>
          <w:bCs/>
          <w:color w:val="auto"/>
          <w:kern w:val="0"/>
          <w:sz w:val="32"/>
          <w:szCs w:val="32"/>
          <w:highlight w:val="none"/>
        </w:rPr>
        <w:t>情况</w:t>
      </w:r>
      <w:r>
        <w:rPr>
          <w:rFonts w:hint="eastAsia" w:ascii="黑体" w:hAnsi="黑体" w:eastAsia="黑体" w:cs="宋体"/>
          <w:bCs/>
          <w:color w:val="auto"/>
          <w:kern w:val="0"/>
          <w:sz w:val="32"/>
          <w:szCs w:val="32"/>
          <w:highlight w:val="none"/>
          <w:lang w:eastAsia="zh-CN"/>
        </w:rPr>
        <w:t>说明</w:t>
      </w:r>
      <w:bookmarkEnd w:id="18"/>
      <w:bookmarkEnd w:id="19"/>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pacing w:val="0"/>
          <w:sz w:val="32"/>
          <w:szCs w:val="32"/>
          <w:highlight w:val="none"/>
          <w:lang w:val="en-US" w:eastAsia="zh-CN"/>
        </w:rPr>
        <w:t>2021年度一般公共预算“三公”经费支出决算0.00万元，比上年增加0.00万元，增长0.00%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2021年我单位无一般公共预算“三公”经费支出</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其中，因公出国（境）费支出0.00万元，占0.00%，比上年增加0.00万元，增长0.00%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2021年我单位无因公出国（境）费支出</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公务用车购置及运行维护费支出0.00万元，占0%，比上年增加0.00万元，增长0.00%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2021年我单位无公务用车购置及运行维护费支出</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公务接待费支出0.00万元，占0%，比上年增加0.00万元，增长0.00%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2021年我单位无公务接待费支出</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具体情况如下：</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因公出国（境）费支出0.00万元</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开支内容包括：</w:t>
      </w:r>
      <w:r>
        <w:rPr>
          <w:rFonts w:hint="eastAsia" w:ascii="仿宋_GB2312" w:eastAsia="仿宋_GB2312"/>
          <w:color w:val="auto"/>
          <w:sz w:val="32"/>
          <w:szCs w:val="32"/>
          <w:highlight w:val="none"/>
          <w:lang w:val="en-US" w:eastAsia="zh-CN"/>
        </w:rPr>
        <w:t>2021年我单位无因公出国（境）费支出</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单位全年安排的因公出国（境）团组0个，因公出国（境）0人次。</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公务用车购置及运行维护费0.00万元，其中，公务用车购置费0.00万元，公务用车运行维护费0.00万元。</w:t>
      </w:r>
      <w:r>
        <w:rPr>
          <w:rFonts w:hint="eastAsia" w:ascii="仿宋_GB2312" w:eastAsia="仿宋_GB2312"/>
          <w:color w:val="auto"/>
          <w:sz w:val="32"/>
          <w:szCs w:val="32"/>
          <w:highlight w:val="none"/>
        </w:rPr>
        <w:t>公务用车运行维护费开支内容包括</w:t>
      </w:r>
      <w:r>
        <w:rPr>
          <w:rFonts w:hint="eastAsia" w:ascii="仿宋_GB2312" w:eastAsia="仿宋_GB2312"/>
          <w:color w:val="auto"/>
          <w:sz w:val="32"/>
          <w:szCs w:val="32"/>
          <w:highlight w:val="none"/>
          <w:lang w:val="en-US" w:eastAsia="zh-CN"/>
        </w:rPr>
        <w:t>2021年我单位无公务用车运行维护费支出</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公务用车购置数0辆，公务用车保有量0辆。</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公务接待费0.00万元</w:t>
      </w:r>
      <w:r>
        <w:rPr>
          <w:rFonts w:hint="eastAsia" w:ascii="仿宋_GB2312" w:eastAsia="仿宋_GB2312"/>
          <w:color w:val="auto"/>
          <w:sz w:val="32"/>
          <w:szCs w:val="32"/>
          <w:highlight w:val="none"/>
        </w:rPr>
        <w:t>，开支内容包括</w:t>
      </w:r>
      <w:r>
        <w:rPr>
          <w:rFonts w:hint="eastAsia" w:ascii="仿宋_GB2312" w:eastAsia="仿宋_GB2312"/>
          <w:color w:val="auto"/>
          <w:sz w:val="32"/>
          <w:szCs w:val="32"/>
          <w:highlight w:val="none"/>
          <w:lang w:val="en-US" w:eastAsia="zh-CN"/>
        </w:rPr>
        <w:t>2021年我单位无公务接待费支出</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单位全年安排的国内公务接待0批次，0人次。</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lang w:val="en-US" w:eastAsia="zh-CN"/>
        </w:rPr>
        <w:t>与年初预算数相比情况：一般公共预算“三公”经费支出年初预算数0.00万元，决算数0.00万元，预决算差异率0.00%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我单位无一般公共预算“三公”经费支出</w:t>
      </w:r>
      <w:r>
        <w:rPr>
          <w:rFonts w:hint="eastAsia" w:ascii="仿宋_GB2312" w:eastAsia="仿宋_GB2312"/>
          <w:color w:val="auto"/>
          <w:sz w:val="32"/>
          <w:szCs w:val="32"/>
          <w:highlight w:val="none"/>
        </w:rPr>
        <w:t>。</w:t>
      </w:r>
      <w:r>
        <w:rPr>
          <w:rFonts w:hint="eastAsia" w:ascii="仿宋_GB2312" w:hAnsi="宋体" w:eastAsia="仿宋_GB2312" w:cs="宋体"/>
          <w:color w:val="auto"/>
          <w:kern w:val="0"/>
          <w:sz w:val="32"/>
          <w:szCs w:val="32"/>
          <w:highlight w:val="none"/>
          <w:lang w:val="en-US" w:eastAsia="zh-CN"/>
        </w:rPr>
        <w:t>其中：因公出国（境）费预算数0.00万元，决算数0.00万元，预决算差异率0.00%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我单位无因公出国（境）费支出</w:t>
      </w:r>
      <w:r>
        <w:rPr>
          <w:rFonts w:hint="eastAsia" w:ascii="仿宋_GB2312" w:eastAsia="仿宋_GB2312"/>
          <w:color w:val="auto"/>
          <w:sz w:val="32"/>
          <w:szCs w:val="32"/>
          <w:highlight w:val="none"/>
        </w:rPr>
        <w:t>；</w:t>
      </w:r>
      <w:r>
        <w:rPr>
          <w:rFonts w:hint="eastAsia" w:ascii="仿宋_GB2312" w:hAnsi="宋体" w:eastAsia="仿宋_GB2312" w:cs="宋体"/>
          <w:color w:val="auto"/>
          <w:kern w:val="0"/>
          <w:sz w:val="32"/>
          <w:szCs w:val="32"/>
          <w:highlight w:val="none"/>
          <w:lang w:val="en-US" w:eastAsia="zh-CN"/>
        </w:rPr>
        <w:t>公务用车购置费预算数0.00万元，决算数0.00万元，预决算差异率0.00%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2021年我单位无公务用车购置费支出</w:t>
      </w:r>
      <w:r>
        <w:rPr>
          <w:rFonts w:hint="eastAsia" w:ascii="仿宋_GB2312" w:eastAsia="仿宋_GB2312"/>
          <w:color w:val="auto"/>
          <w:sz w:val="32"/>
          <w:szCs w:val="32"/>
          <w:highlight w:val="none"/>
        </w:rPr>
        <w:t>；</w:t>
      </w:r>
      <w:r>
        <w:rPr>
          <w:rFonts w:hint="eastAsia" w:ascii="仿宋_GB2312" w:hAnsi="宋体" w:eastAsia="仿宋_GB2312" w:cs="宋体"/>
          <w:color w:val="auto"/>
          <w:kern w:val="0"/>
          <w:sz w:val="32"/>
          <w:szCs w:val="32"/>
          <w:highlight w:val="none"/>
          <w:lang w:val="en-US" w:eastAsia="zh-CN"/>
        </w:rPr>
        <w:t>公务用车运行费预算数0.00万元，决算数0.00万元，预决算差异率0.00%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2021年我单位无运行维护费支出</w:t>
      </w:r>
      <w:r>
        <w:rPr>
          <w:rFonts w:hint="eastAsia" w:ascii="仿宋_GB2312" w:eastAsia="仿宋_GB2312"/>
          <w:color w:val="auto"/>
          <w:sz w:val="32"/>
          <w:szCs w:val="32"/>
          <w:highlight w:val="none"/>
        </w:rPr>
        <w:t>；</w:t>
      </w:r>
      <w:r>
        <w:rPr>
          <w:rFonts w:hint="eastAsia" w:ascii="仿宋_GB2312" w:hAnsi="宋体" w:eastAsia="仿宋_GB2312" w:cs="宋体"/>
          <w:color w:val="auto"/>
          <w:kern w:val="0"/>
          <w:sz w:val="32"/>
          <w:szCs w:val="32"/>
          <w:highlight w:val="none"/>
          <w:lang w:val="en-US" w:eastAsia="zh-CN"/>
        </w:rPr>
        <w:t>公务接待费预算数0.00万元，决算数0.00万元，预决算差异率0.00%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2021年我单位无公务接待费支出</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20" w:name="_Toc7927"/>
      <w:bookmarkStart w:id="21" w:name="_Toc5810"/>
      <w:r>
        <w:rPr>
          <w:rFonts w:hint="eastAsia" w:ascii="黑体" w:hAnsi="黑体" w:eastAsia="黑体" w:cs="宋体"/>
          <w:bCs/>
          <w:color w:val="auto"/>
          <w:kern w:val="0"/>
          <w:sz w:val="32"/>
          <w:szCs w:val="32"/>
          <w:highlight w:val="none"/>
          <w:lang w:eastAsia="zh-CN"/>
        </w:rPr>
        <w:t>八、政府性基金预算收入支出决算情况说明</w:t>
      </w:r>
      <w:bookmarkEnd w:id="20"/>
      <w:bookmarkEnd w:id="21"/>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val="en-US" w:eastAsia="zh-CN"/>
        </w:rPr>
        <w:t>我单位本年度无政府性基金预算财政拨款收入支出，政府性基金预算财政拨款收入支出决算表为空表。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lang w:eastAsia="zh-CN"/>
        </w:rPr>
      </w:pPr>
      <w:r>
        <w:rPr>
          <w:rFonts w:hint="eastAsia" w:ascii="黑体" w:hAnsi="黑体" w:eastAsia="黑体" w:cs="宋体"/>
          <w:bCs/>
          <w:kern w:val="0"/>
          <w:sz w:val="32"/>
          <w:szCs w:val="32"/>
          <w:highlight w:val="none"/>
          <w:lang w:eastAsia="zh-CN"/>
        </w:rPr>
        <w:t>九、国有资本经营预算财政拨款收入支出决算情况说明</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val="en-US" w:eastAsia="zh-CN"/>
        </w:rPr>
        <w:t>我单位本年度无国有资本经营预算财政拨款收入支出，国有资本经营预算财政拨款收入支出决算表为空表。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22" w:name="_Toc7314"/>
      <w:bookmarkStart w:id="23" w:name="_Toc1235"/>
      <w:r>
        <w:rPr>
          <w:rFonts w:hint="eastAsia" w:ascii="黑体" w:hAnsi="黑体" w:eastAsia="黑体" w:cs="宋体"/>
          <w:bCs/>
          <w:kern w:val="0"/>
          <w:sz w:val="32"/>
          <w:szCs w:val="32"/>
          <w:highlight w:val="none"/>
          <w:lang w:eastAsia="zh-CN"/>
        </w:rPr>
        <w:t>十</w:t>
      </w:r>
      <w:r>
        <w:rPr>
          <w:rFonts w:hint="eastAsia" w:ascii="黑体" w:hAnsi="黑体" w:eastAsia="黑体" w:cs="宋体"/>
          <w:bCs/>
          <w:color w:val="auto"/>
          <w:kern w:val="0"/>
          <w:sz w:val="32"/>
          <w:szCs w:val="32"/>
          <w:highlight w:val="none"/>
        </w:rPr>
        <w:t>、其他重要事项的情况</w:t>
      </w:r>
      <w:r>
        <w:rPr>
          <w:rFonts w:hint="eastAsia" w:ascii="黑体" w:hAnsi="黑体" w:eastAsia="黑体" w:cs="宋体"/>
          <w:bCs/>
          <w:color w:val="auto"/>
          <w:kern w:val="0"/>
          <w:sz w:val="32"/>
          <w:szCs w:val="32"/>
          <w:highlight w:val="none"/>
          <w:lang w:eastAsia="zh-CN"/>
        </w:rPr>
        <w:t>说明</w:t>
      </w:r>
      <w:bookmarkEnd w:id="22"/>
      <w:bookmarkEnd w:id="2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2"/>
        <w:rPr>
          <w:rFonts w:hint="eastAsia" w:ascii="黑体" w:hAnsi="黑体" w:eastAsia="黑体"/>
          <w:color w:val="auto"/>
          <w:sz w:val="32"/>
          <w:szCs w:val="32"/>
          <w:highlight w:val="none"/>
        </w:rPr>
      </w:pPr>
      <w:bookmarkStart w:id="24" w:name="_Toc14519"/>
      <w:bookmarkStart w:id="25" w:name="_Toc13105"/>
      <w:r>
        <w:rPr>
          <w:rFonts w:hint="eastAsia" w:ascii="黑体" w:hAnsi="黑体" w:eastAsia="黑体"/>
          <w:color w:val="auto"/>
          <w:sz w:val="32"/>
          <w:szCs w:val="32"/>
          <w:highlight w:val="none"/>
          <w:lang w:eastAsia="zh-CN"/>
        </w:rPr>
        <w:t>（一）</w:t>
      </w:r>
      <w:r>
        <w:rPr>
          <w:rFonts w:hint="eastAsia" w:ascii="黑体" w:hAnsi="黑体" w:eastAsia="黑体"/>
          <w:color w:val="auto"/>
          <w:sz w:val="32"/>
          <w:szCs w:val="32"/>
          <w:highlight w:val="none"/>
        </w:rPr>
        <w:t>机关运行经费支出情况</w:t>
      </w:r>
      <w:bookmarkEnd w:id="24"/>
      <w:bookmarkEnd w:id="25"/>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pacing w:val="0"/>
          <w:sz w:val="32"/>
          <w:szCs w:val="32"/>
          <w:highlight w:val="none"/>
          <w:lang w:val="en-US" w:eastAsia="zh-CN"/>
        </w:rPr>
        <w:t>2021年度新疆塔城地区裕民县第一中学（事业单位）公用经费56.61万元，比上年减少46.60万元，降低45.15%</w:t>
      </w:r>
      <w:r>
        <w:rPr>
          <w:rFonts w:hint="eastAsia" w:ascii="仿宋_GB2312" w:eastAsia="仿宋_GB2312"/>
          <w:color w:val="auto"/>
          <w:sz w:val="32"/>
          <w:szCs w:val="32"/>
          <w:highlight w:val="none"/>
        </w:rPr>
        <w:t>，主要原因是</w:t>
      </w:r>
      <w:r>
        <w:rPr>
          <w:rFonts w:hint="eastAsia" w:ascii="仿宋_GB2312" w:eastAsia="仿宋_GB2312"/>
          <w:color w:val="auto"/>
          <w:sz w:val="32"/>
          <w:szCs w:val="32"/>
          <w:highlight w:val="none"/>
          <w:lang w:val="en-US" w:eastAsia="zh-CN"/>
        </w:rPr>
        <w:t>2021年的公用经费中取暖费由教育费附加项目资金支付</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2"/>
        <w:rPr>
          <w:rFonts w:hint="eastAsia" w:ascii="黑体" w:hAnsi="黑体" w:eastAsia="黑体"/>
          <w:color w:val="auto"/>
          <w:sz w:val="32"/>
          <w:szCs w:val="32"/>
          <w:highlight w:val="none"/>
          <w:lang w:eastAsia="zh-CN"/>
        </w:rPr>
      </w:pPr>
      <w:bookmarkStart w:id="26" w:name="_Toc227"/>
      <w:bookmarkStart w:id="27" w:name="_Toc26704"/>
      <w:r>
        <w:rPr>
          <w:rFonts w:hint="eastAsia" w:ascii="黑体" w:hAnsi="黑体" w:eastAsia="黑体"/>
          <w:color w:val="auto"/>
          <w:sz w:val="32"/>
          <w:szCs w:val="32"/>
          <w:highlight w:val="none"/>
          <w:lang w:eastAsia="zh-CN"/>
        </w:rPr>
        <w:t>（二）政府采购情况</w:t>
      </w:r>
      <w:bookmarkEnd w:id="26"/>
      <w:bookmarkEnd w:id="27"/>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pacing w:val="0"/>
          <w:sz w:val="32"/>
          <w:szCs w:val="32"/>
          <w:highlight w:val="none"/>
          <w:lang w:val="en-US" w:eastAsia="zh-CN"/>
        </w:rPr>
        <w:t>2021年度政府采购支出总额14.86万元，其中：政府采购货物支出14.86万元、政府采购工程支出0.00万元、政府采购服务支出0.00万元。</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pacing w:val="0"/>
          <w:sz w:val="32"/>
          <w:szCs w:val="32"/>
          <w:highlight w:val="none"/>
          <w:lang w:val="en-US" w:eastAsia="zh-CN"/>
        </w:rPr>
      </w:pPr>
      <w:bookmarkStart w:id="28" w:name="_Toc4591"/>
      <w:bookmarkStart w:id="29" w:name="_Toc8391"/>
      <w:r>
        <w:rPr>
          <w:rFonts w:hint="eastAsia" w:ascii="仿宋_GB2312" w:eastAsia="仿宋_GB2312"/>
          <w:color w:val="auto"/>
          <w:spacing w:val="0"/>
          <w:sz w:val="32"/>
          <w:szCs w:val="32"/>
          <w:highlight w:val="none"/>
          <w:lang w:val="en-US" w:eastAsia="zh-CN"/>
        </w:rPr>
        <w:t>授予中小企业合同金额14.86万元，占政府采购支出总额的100%，其中：授予小微企业合同金额0.00万元，占政府采购支出总额的0.00%。</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（三）国有资产占用情况说明</w:t>
      </w:r>
      <w:bookmarkEnd w:id="28"/>
      <w:bookmarkEnd w:id="29"/>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截止2021年12月31日，单位共有房屋8174.96（平方米），价值1,420.57万元。车辆0辆，价值0.00万元，其中：副部（省）级及以上领导用车0辆、主要领导干部用车0辆、机要通信用车0辆、应急保障用车0辆、执法执勤用车0辆、特种专业技术用车0辆、离退休干部用车0辆、其他用车0辆</w:t>
      </w:r>
      <w:r>
        <w:rPr>
          <w:rFonts w:hint="eastAsia" w:ascii="仿宋_GB2312" w:eastAsia="仿宋_GB2312"/>
          <w:color w:val="auto"/>
          <w:sz w:val="32"/>
          <w:szCs w:val="32"/>
          <w:highlight w:val="none"/>
        </w:rPr>
        <w:t>，其他用车主要是：</w:t>
      </w:r>
      <w:r>
        <w:rPr>
          <w:rFonts w:hint="eastAsia" w:ascii="仿宋_GB2312" w:eastAsia="仿宋_GB2312"/>
          <w:color w:val="auto"/>
          <w:sz w:val="32"/>
          <w:szCs w:val="32"/>
          <w:highlight w:val="none"/>
          <w:lang w:val="en-US" w:eastAsia="zh-CN"/>
        </w:rPr>
        <w:t>我单位无其他用车</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单位价值50万元以上通用设备0台（套）、单位价值100万元以上专用设备0台（套）。</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30" w:name="_Toc435"/>
      <w:bookmarkStart w:id="31" w:name="_Toc11283"/>
      <w:r>
        <w:rPr>
          <w:rFonts w:hint="eastAsia" w:ascii="黑体" w:hAnsi="黑体" w:eastAsia="黑体" w:cs="宋体"/>
          <w:bCs/>
          <w:kern w:val="0"/>
          <w:sz w:val="32"/>
          <w:szCs w:val="32"/>
          <w:highlight w:val="none"/>
          <w:lang w:eastAsia="zh-CN"/>
        </w:rPr>
        <w:t>十一</w:t>
      </w:r>
      <w:r>
        <w:rPr>
          <w:rFonts w:hint="eastAsia" w:ascii="黑体" w:hAnsi="黑体" w:eastAsia="黑体" w:cs="宋体"/>
          <w:bCs/>
          <w:color w:val="auto"/>
          <w:kern w:val="0"/>
          <w:sz w:val="32"/>
          <w:szCs w:val="32"/>
          <w:highlight w:val="none"/>
          <w:lang w:eastAsia="zh-CN"/>
        </w:rPr>
        <w:t>、预算绩效的情况说明</w:t>
      </w:r>
      <w:bookmarkEnd w:id="30"/>
      <w:bookmarkEnd w:id="31"/>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lang w:eastAsia="zh-CN"/>
        </w:rPr>
        <w:t>根据预算绩效管理要求，我单位</w:t>
      </w:r>
      <w:r>
        <w:rPr>
          <w:rFonts w:hint="eastAsia" w:ascii="仿宋_GB2312" w:eastAsia="仿宋_GB2312"/>
          <w:color w:val="auto"/>
          <w:sz w:val="32"/>
          <w:szCs w:val="32"/>
          <w:highlight w:val="none"/>
          <w:lang w:val="en-US" w:eastAsia="zh-CN"/>
        </w:rPr>
        <w:t>2021</w:t>
      </w:r>
      <w:r>
        <w:rPr>
          <w:rFonts w:hint="eastAsia" w:ascii="仿宋_GB2312" w:eastAsia="仿宋_GB2312"/>
          <w:color w:val="auto"/>
          <w:sz w:val="32"/>
          <w:szCs w:val="32"/>
          <w:highlight w:val="none"/>
          <w:lang w:eastAsia="zh-CN"/>
        </w:rPr>
        <w:t>年度开展预算绩效评价项目</w:t>
      </w:r>
      <w:r>
        <w:rPr>
          <w:rFonts w:hint="eastAsia" w:ascii="仿宋_GB2312" w:eastAsia="仿宋_GB2312"/>
          <w:color w:val="auto"/>
          <w:sz w:val="32"/>
          <w:szCs w:val="32"/>
          <w:highlight w:val="none"/>
          <w:lang w:val="en-US" w:eastAsia="zh-CN"/>
        </w:rPr>
        <w:t>1</w:t>
      </w:r>
      <w:r>
        <w:rPr>
          <w:rFonts w:hint="eastAsia" w:ascii="仿宋_GB2312" w:eastAsia="仿宋_GB2312"/>
          <w:color w:val="auto"/>
          <w:sz w:val="32"/>
          <w:szCs w:val="32"/>
          <w:highlight w:val="none"/>
          <w:lang w:eastAsia="zh-CN"/>
        </w:rPr>
        <w:t>个，共涉及资金</w:t>
      </w:r>
      <w:r>
        <w:rPr>
          <w:rFonts w:hint="eastAsia" w:ascii="仿宋_GB2312" w:eastAsia="仿宋_GB2312"/>
          <w:color w:val="auto"/>
          <w:sz w:val="32"/>
          <w:szCs w:val="32"/>
          <w:highlight w:val="none"/>
          <w:lang w:val="en-US" w:eastAsia="zh-CN"/>
        </w:rPr>
        <w:t>1.86</w:t>
      </w:r>
      <w:r>
        <w:rPr>
          <w:rFonts w:hint="eastAsia" w:ascii="仿宋_GB2312" w:eastAsia="仿宋_GB2312"/>
          <w:color w:val="auto"/>
          <w:sz w:val="32"/>
          <w:szCs w:val="32"/>
          <w:highlight w:val="none"/>
        </w:rPr>
        <w:t>万元</w:t>
      </w:r>
      <w:r>
        <w:rPr>
          <w:rFonts w:hint="eastAsia" w:ascii="仿宋_GB2312" w:eastAsia="仿宋_GB2312"/>
          <w:color w:val="auto"/>
          <w:sz w:val="32"/>
          <w:szCs w:val="32"/>
          <w:highlight w:val="none"/>
          <w:lang w:eastAsia="zh-CN"/>
        </w:rPr>
        <w:t>。预算绩效管理取得的成效：</w:t>
      </w:r>
      <w:r>
        <w:rPr>
          <w:rFonts w:hint="eastAsia" w:ascii="仿宋_GB2312" w:eastAsia="仿宋_GB2312"/>
          <w:color w:val="auto"/>
          <w:sz w:val="32"/>
          <w:szCs w:val="32"/>
          <w:highlight w:val="none"/>
          <w:lang w:val="en-US" w:eastAsia="zh-CN"/>
        </w:rPr>
        <w:t>保障驻村工作队正常经费开支运转，确保工作队各项工作的正常运行</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lang w:val="en-US" w:eastAsia="zh-CN"/>
        </w:rPr>
        <w:t>驻村工作队经费项目绩效自评综述：根据年初设定的绩效目标，项目全年预算数为1.86万元，执行数为1.86万元，完成预算的100%。主要产出和效果:该项资金主要用于保障驻村工作队各项工作的顺利开展，促进工作队开展活动的有效保障。发现的问题及原因:无。下一步改进措施:无。</w:t>
      </w:r>
      <w:r>
        <w:rPr>
          <w:rFonts w:hint="eastAsia" w:ascii="仿宋_GB2312" w:eastAsia="仿宋_GB2312"/>
          <w:color w:val="auto"/>
          <w:sz w:val="32"/>
          <w:szCs w:val="32"/>
          <w:highlight w:val="none"/>
          <w:lang w:eastAsia="zh-CN"/>
        </w:rPr>
        <w:t>具体</w:t>
      </w:r>
      <w:r>
        <w:rPr>
          <w:rFonts w:hint="eastAsia" w:ascii="仿宋_GB2312" w:eastAsia="仿宋_GB2312"/>
          <w:color w:val="auto"/>
          <w:sz w:val="32"/>
          <w:szCs w:val="32"/>
          <w:highlight w:val="none"/>
        </w:rPr>
        <w:t>项目自评情况附项目支出绩效自评表。</w:t>
      </w:r>
    </w:p>
    <w:p>
      <w:pPr>
        <w:keepNext w:val="0"/>
        <w:keepLines w:val="0"/>
        <w:pageBreakBefore w:val="0"/>
        <w:widowControl w:val="0"/>
        <w:kinsoku/>
        <w:wordWrap/>
        <w:overflowPunct/>
        <w:topLinePunct w:val="0"/>
        <w:bidi w:val="0"/>
        <w:adjustRightInd/>
        <w:snapToGrid/>
        <w:spacing w:line="240" w:lineRule="auto"/>
        <w:jc w:val="both"/>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val="en-US" w:eastAsia="zh-CN"/>
        </w:rPr>
        <w:br w:type="page"/>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sz w:val="32"/>
          <w:szCs w:val="32"/>
          <w:highlight w:val="none"/>
        </w:rPr>
      </w:pPr>
      <w:bookmarkStart w:id="32" w:name="_Toc24143"/>
      <w:bookmarkStart w:id="33" w:name="_Toc3250"/>
      <w:bookmarkStart w:id="34" w:name="_Toc28903"/>
      <w:bookmarkStart w:id="35" w:name="_Toc22784"/>
      <w:r>
        <w:rPr>
          <w:rFonts w:hint="eastAsia" w:ascii="黑体" w:hAnsi="黑体" w:eastAsia="黑体"/>
          <w:sz w:val="32"/>
          <w:szCs w:val="32"/>
          <w:highlight w:val="none"/>
        </w:rPr>
        <w:t>第三部分 专业名词解释</w:t>
      </w:r>
      <w:bookmarkEnd w:id="32"/>
      <w:bookmarkEnd w:id="33"/>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财政拨款收入：指同级财政当年拨付的资金。</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上级补助收入：指事业单位从主管部门和上级单位取得的非财政补助收入。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事业收入：指事业单位开展专业业务活动及其辅助活动所取得的收入。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经营收入：指事业单位在专业业务活动及其辅助活动之外开展非独立核算经营活动取得的收入。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附属单位上缴收入：指事业单位附属的独立核算单位按有关规定上缴的收入。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其他收入：指除上述“财政拨款收入”、“事业收入”、“经营收入”、“附属单位上缴收入”等之外取得的收入。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lang w:eastAsia="zh-CN"/>
        </w:rPr>
        <w:t>年初</w:t>
      </w:r>
      <w:r>
        <w:rPr>
          <w:rFonts w:hint="eastAsia" w:ascii="仿宋_GB2312" w:eastAsia="仿宋_GB2312"/>
          <w:sz w:val="32"/>
          <w:szCs w:val="32"/>
          <w:highlight w:val="none"/>
        </w:rPr>
        <w:t>结转和结余：指以前年度支出预算因客观条件变化未执行完毕、结转到本年度按有关规定继续使用的资金，既包括财政拨款结转和结余，也包括事业收入、经营收入、其他收入的结转和结余。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基本支出：指为保障机构正常运转、完成日常工作任务而发生的人员支出和公用支出。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项目支出：指在基本支出之外为完成特定行政任务和事业发展目标所发生的支出。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经营支出：指事业单位在专业业务活动及其辅助活动之外开展非独立核算经营活动发生的支出。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对附属单位补助支出：指事业单位发生的用非财政预算资金对附属单位的补助支出。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rPr>
        <w:t>“三公”经费：指用一般公共预算财政拨款安排的因公出国（境）费、公务用车购置及运行费和公务接待费。其中，因公出国（境）费反映单位公务出国（境）的</w:t>
      </w:r>
      <w:r>
        <w:rPr>
          <w:rFonts w:hint="eastAsia" w:ascii="仿宋_GB2312" w:eastAsia="仿宋_GB2312"/>
          <w:sz w:val="32"/>
          <w:szCs w:val="32"/>
          <w:highlight w:val="none"/>
          <w:lang w:eastAsia="zh-CN"/>
        </w:rPr>
        <w:t>国际旅费、国外城市间交通费、</w:t>
      </w:r>
      <w:r>
        <w:rPr>
          <w:rFonts w:hint="eastAsia" w:ascii="仿宋_GB2312" w:eastAsia="仿宋_GB2312"/>
          <w:sz w:val="32"/>
          <w:szCs w:val="32"/>
          <w:highlight w:val="none"/>
        </w:rPr>
        <w:t>住宿费、伙食费、培训费、</w:t>
      </w:r>
      <w:r>
        <w:rPr>
          <w:rFonts w:hint="eastAsia" w:ascii="仿宋_GB2312" w:eastAsia="仿宋_GB2312"/>
          <w:sz w:val="32"/>
          <w:szCs w:val="32"/>
          <w:highlight w:val="none"/>
          <w:lang w:eastAsia="zh-CN"/>
        </w:rPr>
        <w:t>公</w:t>
      </w:r>
      <w:r>
        <w:rPr>
          <w:rFonts w:hint="eastAsia" w:ascii="仿宋_GB2312" w:eastAsia="仿宋_GB2312"/>
          <w:sz w:val="32"/>
          <w:szCs w:val="32"/>
          <w:highlight w:val="none"/>
        </w:rPr>
        <w:t>杂费等支出；公务用车购置费</w:t>
      </w:r>
      <w:r>
        <w:rPr>
          <w:rFonts w:hint="eastAsia" w:ascii="仿宋_GB2312" w:eastAsia="仿宋_GB2312"/>
          <w:sz w:val="32"/>
          <w:szCs w:val="32"/>
          <w:highlight w:val="none"/>
          <w:lang w:eastAsia="zh-CN"/>
        </w:rPr>
        <w:t>反映公务用车购置支出（含车辆购置税、牌照费）；</w:t>
      </w:r>
      <w:r>
        <w:rPr>
          <w:rFonts w:hint="eastAsia" w:ascii="仿宋_GB2312" w:eastAsia="仿宋_GB2312"/>
          <w:sz w:val="32"/>
          <w:szCs w:val="32"/>
          <w:highlight w:val="none"/>
        </w:rPr>
        <w:t>公务用车运行</w:t>
      </w:r>
      <w:r>
        <w:rPr>
          <w:rFonts w:hint="eastAsia" w:ascii="仿宋_GB2312" w:eastAsia="仿宋_GB2312"/>
          <w:sz w:val="32"/>
          <w:szCs w:val="32"/>
          <w:highlight w:val="none"/>
          <w:lang w:eastAsia="zh-CN"/>
        </w:rPr>
        <w:t>维护</w:t>
      </w:r>
      <w:r>
        <w:rPr>
          <w:rFonts w:hint="eastAsia" w:ascii="仿宋_GB2312" w:eastAsia="仿宋_GB2312"/>
          <w:sz w:val="32"/>
          <w:szCs w:val="32"/>
          <w:highlight w:val="none"/>
        </w:rPr>
        <w:t>费反映</w:t>
      </w:r>
      <w:r>
        <w:rPr>
          <w:rFonts w:hint="eastAsia" w:ascii="仿宋_GB2312" w:eastAsia="仿宋_GB2312"/>
          <w:sz w:val="32"/>
          <w:szCs w:val="32"/>
          <w:highlight w:val="none"/>
          <w:lang w:eastAsia="zh-CN"/>
        </w:rPr>
        <w:t>单位按规定保留的公务用车燃料费、维修费、</w:t>
      </w:r>
      <w:r>
        <w:rPr>
          <w:rFonts w:hint="eastAsia" w:ascii="仿宋_GB2312" w:eastAsia="仿宋_GB2312"/>
          <w:sz w:val="32"/>
          <w:szCs w:val="32"/>
          <w:highlight w:val="none"/>
        </w:rPr>
        <w:t>过路过桥费、保险费、安全奖励费用等支出</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公务接待费反映单位按规定开支的各类公务接待（含外宾接待）</w:t>
      </w:r>
      <w:r>
        <w:rPr>
          <w:rFonts w:hint="eastAsia" w:ascii="仿宋_GB2312" w:eastAsia="仿宋_GB2312"/>
          <w:sz w:val="32"/>
          <w:szCs w:val="32"/>
          <w:highlight w:val="none"/>
          <w:lang w:eastAsia="zh-CN"/>
        </w:rPr>
        <w:t>费用</w:t>
      </w:r>
      <w:r>
        <w:rPr>
          <w:rFonts w:hint="eastAsia" w:ascii="仿宋_GB2312" w:eastAsia="仿宋_GB2312"/>
          <w:sz w:val="32"/>
          <w:szCs w:val="32"/>
          <w:highlight w:val="none"/>
        </w:rPr>
        <w:t>。</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keepNext w:val="0"/>
        <w:keepLines w:val="0"/>
        <w:pageBreakBefore w:val="0"/>
        <w:widowControl w:val="0"/>
        <w:kinsoku/>
        <w:wordWrap/>
        <w:overflowPunct/>
        <w:topLinePunct w:val="0"/>
        <w:bidi w:val="0"/>
        <w:adjustRightInd/>
        <w:snapToGrid/>
        <w:spacing w:line="240" w:lineRule="auto"/>
        <w:jc w:val="both"/>
        <w:textAlignment w:val="auto"/>
        <w:rPr>
          <w:rFonts w:hint="eastAsia" w:ascii="仿宋_GB2312" w:eastAsia="仿宋_GB2312"/>
          <w:sz w:val="32"/>
          <w:szCs w:val="32"/>
          <w:highlight w:val="none"/>
        </w:rPr>
      </w:pPr>
      <w:r>
        <w:rPr>
          <w:rFonts w:hint="eastAsia" w:ascii="仿宋_GB2312" w:eastAsia="仿宋_GB2312"/>
          <w:color w:val="auto"/>
          <w:sz w:val="32"/>
          <w:szCs w:val="32"/>
          <w:highlight w:val="none"/>
          <w:lang w:val="en-US" w:eastAsia="zh-CN"/>
        </w:rPr>
        <w:br w:type="page"/>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color w:val="auto"/>
          <w:sz w:val="32"/>
          <w:szCs w:val="32"/>
          <w:highlight w:val="none"/>
        </w:rPr>
      </w:pPr>
      <w:r>
        <w:rPr>
          <w:rFonts w:hint="eastAsia" w:ascii="黑体" w:hAnsi="黑体" w:eastAsia="黑体"/>
          <w:color w:val="auto"/>
          <w:sz w:val="32"/>
          <w:szCs w:val="32"/>
          <w:highlight w:val="none"/>
        </w:rPr>
        <w:t>第四部分 部门决算报表（见附表）</w:t>
      </w:r>
      <w:bookmarkEnd w:id="34"/>
      <w:bookmarkEnd w:id="3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36" w:name="_Toc6062"/>
      <w:bookmarkStart w:id="37" w:name="_Toc2183"/>
      <w:r>
        <w:rPr>
          <w:rFonts w:hint="eastAsia" w:ascii="黑体" w:hAnsi="黑体" w:eastAsia="黑体" w:cs="宋体"/>
          <w:bCs/>
          <w:kern w:val="0"/>
          <w:sz w:val="32"/>
          <w:szCs w:val="32"/>
          <w:highlight w:val="none"/>
        </w:rPr>
        <w:t>一、《收入支出决算总表》</w:t>
      </w:r>
      <w:bookmarkEnd w:id="36"/>
      <w:bookmarkEnd w:id="3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38" w:name="_Toc24532"/>
      <w:bookmarkStart w:id="39" w:name="_Toc30364"/>
      <w:r>
        <w:rPr>
          <w:rFonts w:hint="eastAsia" w:ascii="黑体" w:hAnsi="黑体" w:eastAsia="黑体" w:cs="宋体"/>
          <w:bCs/>
          <w:kern w:val="0"/>
          <w:sz w:val="32"/>
          <w:szCs w:val="32"/>
          <w:highlight w:val="none"/>
        </w:rPr>
        <w:t>二、《收入决算表》</w:t>
      </w:r>
      <w:bookmarkEnd w:id="38"/>
      <w:bookmarkEnd w:id="39"/>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0" w:name="_Toc21304"/>
      <w:bookmarkStart w:id="41" w:name="_Toc32434"/>
      <w:r>
        <w:rPr>
          <w:rFonts w:hint="eastAsia" w:ascii="黑体" w:hAnsi="黑体" w:eastAsia="黑体" w:cs="宋体"/>
          <w:bCs/>
          <w:kern w:val="0"/>
          <w:sz w:val="32"/>
          <w:szCs w:val="32"/>
          <w:highlight w:val="none"/>
        </w:rPr>
        <w:t>三、《支出决算表》</w:t>
      </w:r>
      <w:bookmarkEnd w:id="40"/>
      <w:bookmarkEnd w:id="4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2" w:name="_Toc28786"/>
      <w:bookmarkStart w:id="43" w:name="_Toc14238"/>
      <w:r>
        <w:rPr>
          <w:rFonts w:hint="eastAsia" w:ascii="黑体" w:hAnsi="黑体" w:eastAsia="黑体" w:cs="宋体"/>
          <w:bCs/>
          <w:kern w:val="0"/>
          <w:sz w:val="32"/>
          <w:szCs w:val="32"/>
          <w:highlight w:val="none"/>
        </w:rPr>
        <w:t>四、《财政拨款收入支出决算总表》</w:t>
      </w:r>
      <w:bookmarkEnd w:id="42"/>
      <w:bookmarkEnd w:id="4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4" w:name="_Toc14869"/>
      <w:bookmarkStart w:id="45" w:name="_Toc10347"/>
      <w:r>
        <w:rPr>
          <w:rFonts w:hint="eastAsia" w:ascii="黑体" w:hAnsi="黑体" w:eastAsia="黑体" w:cs="宋体"/>
          <w:bCs/>
          <w:kern w:val="0"/>
          <w:sz w:val="32"/>
          <w:szCs w:val="32"/>
          <w:highlight w:val="none"/>
        </w:rPr>
        <w:t>五、《一般公共预算财政拨款支出决算表》</w:t>
      </w:r>
      <w:bookmarkEnd w:id="44"/>
      <w:bookmarkEnd w:id="4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6" w:name="_Toc5626"/>
      <w:bookmarkStart w:id="47" w:name="_Toc8884"/>
      <w:r>
        <w:rPr>
          <w:rFonts w:hint="eastAsia" w:ascii="黑体" w:hAnsi="黑体" w:eastAsia="黑体" w:cs="宋体"/>
          <w:bCs/>
          <w:kern w:val="0"/>
          <w:sz w:val="32"/>
          <w:szCs w:val="32"/>
          <w:highlight w:val="none"/>
        </w:rPr>
        <w:t>六、《一般公共预算财政拨款基本支出决算表》</w:t>
      </w:r>
      <w:bookmarkEnd w:id="46"/>
      <w:bookmarkEnd w:id="4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8" w:name="_Toc29106"/>
      <w:bookmarkStart w:id="49" w:name="_Toc32663"/>
      <w:r>
        <w:rPr>
          <w:rFonts w:hint="eastAsia" w:ascii="黑体" w:hAnsi="黑体" w:eastAsia="黑体" w:cs="宋体"/>
          <w:bCs/>
          <w:kern w:val="0"/>
          <w:sz w:val="32"/>
          <w:szCs w:val="32"/>
          <w:highlight w:val="none"/>
        </w:rPr>
        <w:t>七、《一般公共预算财政拨款“三公”经费支出决算表》</w:t>
      </w:r>
      <w:bookmarkEnd w:id="48"/>
      <w:bookmarkEnd w:id="49"/>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50" w:name="_Toc7643"/>
      <w:bookmarkStart w:id="51" w:name="_Toc5453"/>
      <w:r>
        <w:rPr>
          <w:rFonts w:hint="eastAsia" w:ascii="黑体" w:hAnsi="黑体" w:eastAsia="黑体" w:cs="宋体"/>
          <w:bCs/>
          <w:kern w:val="0"/>
          <w:sz w:val="32"/>
          <w:szCs w:val="32"/>
          <w:highlight w:val="none"/>
        </w:rPr>
        <w:t>八、《政府性基金预算财政拨款收入支出决算表》</w:t>
      </w:r>
      <w:bookmarkEnd w:id="50"/>
      <w:bookmarkEnd w:id="5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kern w:val="0"/>
          <w:sz w:val="32"/>
          <w:szCs w:val="32"/>
          <w:highlight w:val="none"/>
          <w:lang w:eastAsia="zh-CN"/>
        </w:rPr>
        <w:t>九</w:t>
      </w:r>
      <w:r>
        <w:rPr>
          <w:rFonts w:hint="eastAsia" w:ascii="黑体" w:hAnsi="黑体" w:eastAsia="黑体" w:cs="宋体"/>
          <w:bCs/>
          <w:kern w:val="0"/>
          <w:sz w:val="32"/>
          <w:szCs w:val="32"/>
          <w:highlight w:val="none"/>
        </w:rPr>
        <w:t>、《</w:t>
      </w:r>
      <w:r>
        <w:rPr>
          <w:rFonts w:hint="eastAsia" w:ascii="黑体" w:hAnsi="黑体" w:eastAsia="黑体" w:cs="宋体"/>
          <w:bCs/>
          <w:kern w:val="0"/>
          <w:sz w:val="32"/>
          <w:szCs w:val="32"/>
          <w:highlight w:val="none"/>
          <w:lang w:eastAsia="zh-CN"/>
        </w:rPr>
        <w:t>国有资本经营</w:t>
      </w:r>
      <w:r>
        <w:rPr>
          <w:rFonts w:hint="eastAsia" w:ascii="黑体" w:hAnsi="黑体" w:eastAsia="黑体" w:cs="宋体"/>
          <w:bCs/>
          <w:kern w:val="0"/>
          <w:sz w:val="32"/>
          <w:szCs w:val="32"/>
          <w:highlight w:val="none"/>
        </w:rPr>
        <w:t>预算财政拨款收入支出决算表》</w:t>
      </w: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altName w:val="微软雅黑"/>
    <w:panose1 w:val="03000509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">
              <v:fill on="f" focussize="0,0"/>
              <v:stroke on="f"/>
              <v:imagedata o:title=""/>
              <o:lock v:ext="edit" aspectratio="f"/>
              <v:textbox inset="0mm,0mm,0mm,0mm" style="mso-fit-shape-to-text:t;">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liMGQ1NzUxNDQyOTM4ODgwZTM5MjA1NGViMzY4MzIifQ=="/>
  </w:docVars>
  <w:rsids>
    <w:rsidRoot w:val="00000000"/>
    <w:rsid w:val="0131169A"/>
    <w:rsid w:val="01734C27"/>
    <w:rsid w:val="01DD6073"/>
    <w:rsid w:val="02014C29"/>
    <w:rsid w:val="02890C73"/>
    <w:rsid w:val="04044ED1"/>
    <w:rsid w:val="041C5E18"/>
    <w:rsid w:val="04AA63C1"/>
    <w:rsid w:val="04EE377F"/>
    <w:rsid w:val="051C631E"/>
    <w:rsid w:val="0562142B"/>
    <w:rsid w:val="06792773"/>
    <w:rsid w:val="074F280E"/>
    <w:rsid w:val="075B1482"/>
    <w:rsid w:val="075F768F"/>
    <w:rsid w:val="07BA7C7F"/>
    <w:rsid w:val="07C3443C"/>
    <w:rsid w:val="08476613"/>
    <w:rsid w:val="084876D1"/>
    <w:rsid w:val="09026D66"/>
    <w:rsid w:val="090B11F4"/>
    <w:rsid w:val="0A2E4EB6"/>
    <w:rsid w:val="0A611FB0"/>
    <w:rsid w:val="0A6D05E4"/>
    <w:rsid w:val="0AC520F0"/>
    <w:rsid w:val="0B21162A"/>
    <w:rsid w:val="0B557DD5"/>
    <w:rsid w:val="0BED1442"/>
    <w:rsid w:val="0C595DFB"/>
    <w:rsid w:val="0C7A5D15"/>
    <w:rsid w:val="0CD00AF9"/>
    <w:rsid w:val="0CFEBB4E"/>
    <w:rsid w:val="0D0A4F7E"/>
    <w:rsid w:val="0D0B27DC"/>
    <w:rsid w:val="0D7C3599"/>
    <w:rsid w:val="0E003458"/>
    <w:rsid w:val="0E1F036C"/>
    <w:rsid w:val="0EB33F18"/>
    <w:rsid w:val="0F1410FB"/>
    <w:rsid w:val="0F923480"/>
    <w:rsid w:val="1056158D"/>
    <w:rsid w:val="10F929CB"/>
    <w:rsid w:val="10FF31A4"/>
    <w:rsid w:val="1142269D"/>
    <w:rsid w:val="11450985"/>
    <w:rsid w:val="11CA45A9"/>
    <w:rsid w:val="11E8712A"/>
    <w:rsid w:val="11FE3AAA"/>
    <w:rsid w:val="122451E5"/>
    <w:rsid w:val="122E645F"/>
    <w:rsid w:val="126B62A8"/>
    <w:rsid w:val="12951F13"/>
    <w:rsid w:val="12B1037D"/>
    <w:rsid w:val="12CC4CD9"/>
    <w:rsid w:val="13326CE6"/>
    <w:rsid w:val="14284AED"/>
    <w:rsid w:val="15CF1AC0"/>
    <w:rsid w:val="17083B88"/>
    <w:rsid w:val="1742163F"/>
    <w:rsid w:val="176E53C3"/>
    <w:rsid w:val="1805797E"/>
    <w:rsid w:val="18124080"/>
    <w:rsid w:val="182E453B"/>
    <w:rsid w:val="189A656F"/>
    <w:rsid w:val="198202DA"/>
    <w:rsid w:val="19AF7A44"/>
    <w:rsid w:val="1A6109EF"/>
    <w:rsid w:val="1B424E9E"/>
    <w:rsid w:val="1BB07761"/>
    <w:rsid w:val="1C2A54A9"/>
    <w:rsid w:val="1C3737FD"/>
    <w:rsid w:val="1C88403A"/>
    <w:rsid w:val="1CB729A5"/>
    <w:rsid w:val="1CC56B97"/>
    <w:rsid w:val="1D34682A"/>
    <w:rsid w:val="1D4A73D5"/>
    <w:rsid w:val="1D9C2D67"/>
    <w:rsid w:val="1DAF458D"/>
    <w:rsid w:val="1DE34574"/>
    <w:rsid w:val="1F77716A"/>
    <w:rsid w:val="1F825A11"/>
    <w:rsid w:val="206034DD"/>
    <w:rsid w:val="20DF6845"/>
    <w:rsid w:val="233B4784"/>
    <w:rsid w:val="233E5923"/>
    <w:rsid w:val="236A6149"/>
    <w:rsid w:val="23B146B9"/>
    <w:rsid w:val="240038BA"/>
    <w:rsid w:val="240A65B7"/>
    <w:rsid w:val="263D5951"/>
    <w:rsid w:val="265E582C"/>
    <w:rsid w:val="26E147D1"/>
    <w:rsid w:val="27004B43"/>
    <w:rsid w:val="27B248A0"/>
    <w:rsid w:val="283F1644"/>
    <w:rsid w:val="287C6FB4"/>
    <w:rsid w:val="28B4796C"/>
    <w:rsid w:val="29770D57"/>
    <w:rsid w:val="29A000F0"/>
    <w:rsid w:val="29D21E13"/>
    <w:rsid w:val="2A053397"/>
    <w:rsid w:val="2AB554B8"/>
    <w:rsid w:val="2B0377CD"/>
    <w:rsid w:val="2B2D102C"/>
    <w:rsid w:val="2B6B66AA"/>
    <w:rsid w:val="2BFE2EF0"/>
    <w:rsid w:val="2C1E18A5"/>
    <w:rsid w:val="2C604703"/>
    <w:rsid w:val="2D1136DF"/>
    <w:rsid w:val="2D2B5CBF"/>
    <w:rsid w:val="2D817EFD"/>
    <w:rsid w:val="2D8C755C"/>
    <w:rsid w:val="2DA02D04"/>
    <w:rsid w:val="2DFD193C"/>
    <w:rsid w:val="2E9F6859"/>
    <w:rsid w:val="2EC544A9"/>
    <w:rsid w:val="2F0C26B1"/>
    <w:rsid w:val="2F116303"/>
    <w:rsid w:val="2FC614E6"/>
    <w:rsid w:val="30236790"/>
    <w:rsid w:val="30802486"/>
    <w:rsid w:val="31175173"/>
    <w:rsid w:val="314D12BC"/>
    <w:rsid w:val="316F250C"/>
    <w:rsid w:val="31BD13AC"/>
    <w:rsid w:val="31C63837"/>
    <w:rsid w:val="32082F98"/>
    <w:rsid w:val="32A6143E"/>
    <w:rsid w:val="336D09C0"/>
    <w:rsid w:val="354A37A9"/>
    <w:rsid w:val="36273CF4"/>
    <w:rsid w:val="36827C07"/>
    <w:rsid w:val="36AA5F52"/>
    <w:rsid w:val="36C058A7"/>
    <w:rsid w:val="36E000FD"/>
    <w:rsid w:val="374146AF"/>
    <w:rsid w:val="37D36EBD"/>
    <w:rsid w:val="399731E4"/>
    <w:rsid w:val="3ADE39A4"/>
    <w:rsid w:val="3AFB1A4C"/>
    <w:rsid w:val="3B610B0E"/>
    <w:rsid w:val="3BF672B3"/>
    <w:rsid w:val="3BF67B6E"/>
    <w:rsid w:val="3C132F7E"/>
    <w:rsid w:val="3C530331"/>
    <w:rsid w:val="3CBB22B3"/>
    <w:rsid w:val="3CC7093B"/>
    <w:rsid w:val="3CC80DC0"/>
    <w:rsid w:val="3D1309DF"/>
    <w:rsid w:val="3D217D96"/>
    <w:rsid w:val="3D5275AC"/>
    <w:rsid w:val="3DED65A8"/>
    <w:rsid w:val="3DFE4E4B"/>
    <w:rsid w:val="3E160417"/>
    <w:rsid w:val="3E4F50AC"/>
    <w:rsid w:val="40161B73"/>
    <w:rsid w:val="4079165E"/>
    <w:rsid w:val="41AD1AA2"/>
    <w:rsid w:val="41B20E4F"/>
    <w:rsid w:val="41D31F00"/>
    <w:rsid w:val="42B76840"/>
    <w:rsid w:val="43316970"/>
    <w:rsid w:val="4421165A"/>
    <w:rsid w:val="44467526"/>
    <w:rsid w:val="44CF4655"/>
    <w:rsid w:val="45A87853"/>
    <w:rsid w:val="45AD0B65"/>
    <w:rsid w:val="46901EEE"/>
    <w:rsid w:val="469C74D2"/>
    <w:rsid w:val="46DC1114"/>
    <w:rsid w:val="46FA6D28"/>
    <w:rsid w:val="473F39FE"/>
    <w:rsid w:val="476D2E32"/>
    <w:rsid w:val="47801D21"/>
    <w:rsid w:val="47FF5A3B"/>
    <w:rsid w:val="48F9688C"/>
    <w:rsid w:val="490B0284"/>
    <w:rsid w:val="492D17D3"/>
    <w:rsid w:val="493A3870"/>
    <w:rsid w:val="4A1207ED"/>
    <w:rsid w:val="4A9D77CC"/>
    <w:rsid w:val="4AF5079B"/>
    <w:rsid w:val="4B345CA5"/>
    <w:rsid w:val="4B701753"/>
    <w:rsid w:val="4BEB2AE8"/>
    <w:rsid w:val="4C181618"/>
    <w:rsid w:val="4C6D3066"/>
    <w:rsid w:val="4CB3745D"/>
    <w:rsid w:val="4D391693"/>
    <w:rsid w:val="4DA93660"/>
    <w:rsid w:val="4DD406E5"/>
    <w:rsid w:val="4DF31F55"/>
    <w:rsid w:val="4E535897"/>
    <w:rsid w:val="4F195BC9"/>
    <w:rsid w:val="4F714843"/>
    <w:rsid w:val="4FCE528B"/>
    <w:rsid w:val="5004002B"/>
    <w:rsid w:val="500A528D"/>
    <w:rsid w:val="5074492C"/>
    <w:rsid w:val="50D87915"/>
    <w:rsid w:val="50DB5F45"/>
    <w:rsid w:val="510B4945"/>
    <w:rsid w:val="511D7E14"/>
    <w:rsid w:val="51554269"/>
    <w:rsid w:val="516A2E8A"/>
    <w:rsid w:val="517134A1"/>
    <w:rsid w:val="51BB37A4"/>
    <w:rsid w:val="52163B23"/>
    <w:rsid w:val="523D322D"/>
    <w:rsid w:val="52C01CAC"/>
    <w:rsid w:val="530335BC"/>
    <w:rsid w:val="535F2703"/>
    <w:rsid w:val="549741F3"/>
    <w:rsid w:val="56146D24"/>
    <w:rsid w:val="56547F9B"/>
    <w:rsid w:val="568D63A8"/>
    <w:rsid w:val="569D71D3"/>
    <w:rsid w:val="570E289D"/>
    <w:rsid w:val="57211AEC"/>
    <w:rsid w:val="57AF4592"/>
    <w:rsid w:val="5813797A"/>
    <w:rsid w:val="58344842"/>
    <w:rsid w:val="588E1D40"/>
    <w:rsid w:val="58E4063C"/>
    <w:rsid w:val="58F356A0"/>
    <w:rsid w:val="58FB4926"/>
    <w:rsid w:val="5A8C5C64"/>
    <w:rsid w:val="5B0A3C7C"/>
    <w:rsid w:val="5C145D5F"/>
    <w:rsid w:val="5C8850C2"/>
    <w:rsid w:val="5DE43C4B"/>
    <w:rsid w:val="5E256662"/>
    <w:rsid w:val="5E8D0FF0"/>
    <w:rsid w:val="5EA92E5B"/>
    <w:rsid w:val="5F312B5A"/>
    <w:rsid w:val="5F3A544C"/>
    <w:rsid w:val="5F421F4F"/>
    <w:rsid w:val="5F932967"/>
    <w:rsid w:val="600C4334"/>
    <w:rsid w:val="607C007C"/>
    <w:rsid w:val="60EE637C"/>
    <w:rsid w:val="610F4386"/>
    <w:rsid w:val="610F76A0"/>
    <w:rsid w:val="613B2291"/>
    <w:rsid w:val="616F6C82"/>
    <w:rsid w:val="61C23CA5"/>
    <w:rsid w:val="625B5AF2"/>
    <w:rsid w:val="62643A57"/>
    <w:rsid w:val="62A91F52"/>
    <w:rsid w:val="62B07C56"/>
    <w:rsid w:val="64350E40"/>
    <w:rsid w:val="64766BFD"/>
    <w:rsid w:val="647D0508"/>
    <w:rsid w:val="6537230D"/>
    <w:rsid w:val="656325C7"/>
    <w:rsid w:val="65BF2B26"/>
    <w:rsid w:val="65CF3090"/>
    <w:rsid w:val="65D57A52"/>
    <w:rsid w:val="668019BE"/>
    <w:rsid w:val="668147BE"/>
    <w:rsid w:val="66A71241"/>
    <w:rsid w:val="67CB7D39"/>
    <w:rsid w:val="69316E1A"/>
    <w:rsid w:val="69554902"/>
    <w:rsid w:val="69A94B4A"/>
    <w:rsid w:val="69AD798C"/>
    <w:rsid w:val="69C70FA3"/>
    <w:rsid w:val="69E5430E"/>
    <w:rsid w:val="6A197EE3"/>
    <w:rsid w:val="6A4F6540"/>
    <w:rsid w:val="6A733F65"/>
    <w:rsid w:val="6AAD748A"/>
    <w:rsid w:val="6B4F02DD"/>
    <w:rsid w:val="6B68175F"/>
    <w:rsid w:val="6B8E27EF"/>
    <w:rsid w:val="6C360AF8"/>
    <w:rsid w:val="6C6B3009"/>
    <w:rsid w:val="6C6B3214"/>
    <w:rsid w:val="6C747BB9"/>
    <w:rsid w:val="6D3D14C4"/>
    <w:rsid w:val="6DF26FFC"/>
    <w:rsid w:val="6E094282"/>
    <w:rsid w:val="6ED34999"/>
    <w:rsid w:val="6F29157B"/>
    <w:rsid w:val="6F531BF4"/>
    <w:rsid w:val="700F486D"/>
    <w:rsid w:val="701074C0"/>
    <w:rsid w:val="707F51EF"/>
    <w:rsid w:val="71833EC6"/>
    <w:rsid w:val="718D4E0D"/>
    <w:rsid w:val="71AE7AA3"/>
    <w:rsid w:val="71CA2249"/>
    <w:rsid w:val="721E4A5D"/>
    <w:rsid w:val="72EE56CB"/>
    <w:rsid w:val="73406D5B"/>
    <w:rsid w:val="738E33C3"/>
    <w:rsid w:val="73FB6630"/>
    <w:rsid w:val="750B5BF1"/>
    <w:rsid w:val="75B51FC0"/>
    <w:rsid w:val="75B60031"/>
    <w:rsid w:val="76DD091D"/>
    <w:rsid w:val="77466E92"/>
    <w:rsid w:val="774B26E2"/>
    <w:rsid w:val="77720CA8"/>
    <w:rsid w:val="77ED6F44"/>
    <w:rsid w:val="78224413"/>
    <w:rsid w:val="78FD1F20"/>
    <w:rsid w:val="79870A12"/>
    <w:rsid w:val="7A1C6325"/>
    <w:rsid w:val="7A7632AD"/>
    <w:rsid w:val="7AC8434A"/>
    <w:rsid w:val="7B3910B5"/>
    <w:rsid w:val="7B4C7884"/>
    <w:rsid w:val="7B902D83"/>
    <w:rsid w:val="7BAB7A6D"/>
    <w:rsid w:val="7D5B7B53"/>
    <w:rsid w:val="7D710817"/>
    <w:rsid w:val="7F8F3BEC"/>
    <w:rsid w:val="7FD64AD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customStyle="1" w:styleId="10">
    <w:name w:val="WPSOffice手动目录 3"/>
    <w:qFormat/>
    <w:uiPriority w:val="0"/>
    <w:pPr>
      <w:ind w:leftChars="400"/>
    </w:pPr>
    <w:rPr>
      <w:rFonts w:ascii="Times New Roman" w:hAnsi="Times New Roman" w:eastAsia="宋体" w:cs="Times New Roman"/>
      <w:sz w:val="20"/>
      <w:szCs w:val="20"/>
    </w:rPr>
  </w:style>
  <w:style w:type="paragraph" w:customStyle="1" w:styleId="11">
    <w:name w:val="WPSOffice手动目录 2"/>
    <w:qFormat/>
    <w:uiPriority w:val="0"/>
    <w:pPr>
      <w:ind w:leftChars="200"/>
    </w:pPr>
    <w:rPr>
      <w:rFonts w:ascii="Times New Roman" w:hAnsi="Times New Roman" w:eastAsia="宋体" w:cs="Times New Roman"/>
      <w:sz w:val="20"/>
      <w:szCs w:val="20"/>
    </w:rPr>
  </w:style>
  <w:style w:type="paragraph" w:customStyle="1" w:styleId="12">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14</Pages>
  <Words>4879</Words>
  <Characters>5452</Characters>
  <Lines>0</Lines>
  <Paragraphs>0</Paragraphs>
  <TotalTime>52</TotalTime>
  <ScaleCrop>false</ScaleCrop>
  <LinksUpToDate>false</LinksUpToDate>
  <CharactersWithSpaces>5520</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2014-10-29T20:08:00Z</dcterms:created>
  <dc:creator>GXR</dc:creator>
  <cp:lastModifiedBy>admin1</cp:lastModifiedBy>
  <dcterms:modified xsi:type="dcterms:W3CDTF">2023-09-19T04:59:32Z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58240A701613457BB24A0FE0F01EE863</vt:lpwstr>
  </property>
</Properties>
</file>