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新疆塔城地区裕民县人力资源和社会保障局</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（一）贯彻执行国家、自治区、地区人力资源和社会保障事业发展规划、政策、法律、法规；研究拟订全县人力资源和社会保障事业发展规划和年度工作计划并组织实施和监督检查。</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（二）负责全县人力资源规划、开发工作，依据人力资源政策、法规与相关部门协同拟订符合本县人力资源流动政策并组织实施，建立并规范全县人力资源市场，促进人力资源合理流动、有效配置。</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三）负责促进就业和创业工作。执行国家、自治区和地区促进城乡就业的基本政策和措施，拟订全县城乡就业发展规划并组织实施，完善公共就业服务体系；组织落实就业援助制度、职业资格制度，统筹建立面向城乡劳动者的职业培训制度，承担职业技能鉴定工作；组织落实高校毕业生就业政策，推动高技能人才、农村实用人才培养和激励政策落实，鼓励和支持个体私营等非公有制经济和中小企业发展壮大，指导和促进高校毕业生失业人员和返乡农民工创业。</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四）贯彻执行国家、自治区、地区城乡养老、失业、医疗、工伤、生育、社会保险及其补充保险政策和标准；贯彻执行机关企事业单位及农村社会基本养老保险政策；执行自治区、地区社会保险基金收缴、支付、管理和运营政策。对社会保险基金管理实施行政监督审查，实施预防、调节和控制，保持社会保险基金总体收支平衡。</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五）全面贯彻实施《中华人民共和国公务员法》，依法对公务员法律、法规实施情况进行监督、检查；与有关部门协同拟订全县国家公务员各项管理制度，负责全县行政机关公务员综合管理；依法对公务员实施监督，负责行政机关公务员信息统计管理工作及全县行政机关公务员、参照公务员管理单位工作人员的登记工作。按照管理权限负责公务员调配、录用、考核、奖惩、任用、培训、辞退等综合管理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（六）贯彻执行国家、自治区、地区机关、事业单位增加人员计划的审核及其工作人员正常晋升工资档次的审批工作；参与县级劳动模范评定工作。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七）研究拟订全县事业单位人事制度改革方案，指导各相关业务主管部门拟订事业单位人员和机关工勤人员管理政策并组织实施；参与人才管理工作，推进专业技术人员管理和继续教育政策的实施；搞好各类人事考试培训工作；推进深化职称制度改革工作，综合管理职称评聘等工作；负责高层次专业技术人才选拔和培养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八）负责劳动合同执行情况的监督管理工作，督促用人单位依法签订劳动合同；依据职业病诊断结果，做好职业病人的社会保障工作。会同有关部门组织落实农民工工作综合政策，拟订农民工工作规划，推动农民工相关政策的落实，协调解决重点难点问题，维护农民工合法权益。</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九）实施劳动、人事争议调解仲裁制度；认真执行国家、自治区劳动关系政策，完善劳动协调机制；指导人事劳动争议处理和仲裁，监督、落实、消除非法使用童工政策，落实女工、未成年人的特殊劳动保护政策；组织实施劳动监察，协调劳动者维权工作，依法查处重大案件。</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拟订吸引国（境）外专家、留学人员来本县工作或定居政策；指导和协调全县人力资源和社会保障方面的国际交流与合作。负责引进国（境）外人才和智力工作职责，加大引进国外智力和项目的力度，扩大国际合作与交流，强化出国（境）培训管理。</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（十一）研究拟订政府奖励表彰制度，协调政府系统奖励表彰工作；审核以县政府名义实施的奖励表彰活动和奖励表彰人员。</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（十二）受理全县人力资源和社会保障方面信访事项，拟订信访维稳工作预案；会同有关部门协调处理有关劳动、人事方面重大信访事件或突发事件。</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（十三）负责指导、监督全县政府系统和县政府各部门的人力资源和社会保障管理工作；承担全县人力资源和社会保障系统的宣传、调研、统计和信息工作；组织建设县人力资源和社会保障系统信息网络。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（十四）承办县委、县人民政府及上级主管部门交办的其他事项。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新疆塔城地区裕民县人力资源和社会保障局2021年度，实有人数74人，其中：在职人员56人，离休人员0人，退休人员18人。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人力资源和社会保障局部门决算包括：新疆塔城地区裕民县人力资源和社会保障局决算。单位无下属预算单位，下设12个处室，分别是：裕民县人力资源服务市场、裕民县创业服务中心、裕民县劳动和社会保障监察大队、裕民县人事争议仲裁院、裕民县就业信息服务中心、工资科、专业技术科、社保工资科、财务室、档案室、办公室、裕民县社会保险中心。</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2021年度本年收入2,027.98万元，与上年相比，增加31.96万元，增长1.60%</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2021年4月社会保险中心合并到我单位，增加了我单位的收入等</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本年支出2,044.57万元，与上年相比，增加18.70万元，增长0.92%</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2021年4月社会保险中心合并到我单位，增加了我单位的收入等</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2,027.98万元，其中：财政拨款收入2,025.30万元，占99.87%；上级补助收入0.00万元，占0.00%；事业收入0.00万元，占0.00%；经营收入0.00万元，占0.00%；附属单位上缴收入0.00万元，占0.00%；其他收入2.68万元，占0.13%。</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2021年度本年支出2,044.57万元，其中：基本支出802.40万元，占39.25%；项目支出1,242.16万元，占60.75%；上缴上级支出0.00万元，占0.00%；经营支出0.00万元，占0.00%；对附属单位补助支出0.00万元，占0.00%。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2021年度财政拨款收入2,025.30万元，与上年相比，增加92.57万元，增长4.79%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2021年4月社会保险中心合并到我单位，增加了我单位的收入等</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财政拨款支出2,025.30万元，与上年相比，增加44.19万元，增长2.23%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2021年4月社会保险中心合并到我单位，增加了我单位的收入等</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与年初预算数相比情况：财政拨款收入年初预算数890.84万元，决算数2,025.30万元，预决算差异率127.35%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增加了人社局2021年自治区财政衔接推进乡村振兴补助劳动技能培训资金；增加了山花公寓经费；增加了再就业资金；增加了隔离点建设资金；增加了三支一扶补助资金；增加了人社局1995年12月31日前退休的企业人员生活补贴财政补助资金等</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财政拨款支出年初预算数890.84万元，决算数2,025.30万元，预决算差异率127.35%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增加了人社局2021年自治区财政衔接推进乡村振兴补助劳动技能培训资金；增加了山花公寓经费；增加了再就业资金；增加了隔离点建设资金；增加了三支一扶补助资金；增加了人社局1995年12月31日前退休的企业人员生活补贴财政补助资金等</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2021年度一般公共预算财政拨款支出2,025.30万元。按功能分类科目项级科目公开，其中：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2013201 行政运行109.11万元;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2080101 行政运行392.09万元;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2080109 社会保险经办机构108.59万元;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2080199 其他人力资源和社会保障管理事务支出104.35万元;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2080501 行政单位离退休17.34万元;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机关事业单位基本养老保险缴费支出64.48万元;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2080699 其他企业改革发展补助8.28万元;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2080799 其他就业补助支出1,025.35万元;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2080999 其他退役安置支出0.10万元;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2089999 其他社会保障和就业支出4.68万元;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行政单位医疗37.67万元;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公务员医疗补助9.91万元;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2130505 生产发展87.00万元;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住房公积金46.36万元;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2299999 其他支出10.00万元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2021年度一般公共预算财政拨款基本支出783.14万元，其中：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715.03万元，包括：基本工资223.55万元、津贴补贴232.47万元、奖金82.05万元、机关事业单位基本养老保险缴费64.48万元、职工基本医疗保险缴费37.67万元、公务员医疗补助缴费9.91万元、其他社会保障缴费0.99万元、住房公积金46.36万元、退休费3.86万元、医疗费补助13.59万元、奖励金0.1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000000" w:themeColor="text1"/>
          <w:sz w:val="32"/>
          <w:szCs w:val="32"/>
          <w:highlight w:val="none"/>
          <w:lang w:eastAsia="zh-CN"/>
          <w14:textFill>
            <w14:solidFill>
              <w14:schemeClr w14:val="tx1"/>
            </w14:solidFill>
          </w14:textFill>
        </w:rPr>
      </w:pPr>
      <w:r>
        <w:rPr>
          <w:rFonts w:hint="eastAsia" w:ascii="仿宋_GB2312" w:eastAsia="仿宋_GB2312"/>
          <w:color w:val="000000" w:themeColor="text1"/>
          <w:sz w:val="32"/>
          <w:szCs w:val="32"/>
          <w:highlight w:val="none"/>
          <w:lang w:val="en-US" w:eastAsia="zh-CN"/>
          <w14:textFill>
            <w14:solidFill>
              <w14:schemeClr w14:val="tx1"/>
            </w14:solidFill>
          </w14:textFill>
        </w:rPr>
        <w:t>公用经费68.11万元，包括：电费2.22万元、办公费8.70万元、印刷费0.97万元、水费0.07万元、邮电费3.84万元、取暖费32.34万元、差旅费1.59万元、维修（护）费0.92万元、工会经费7.7万元、福利费5.24万元、公务用车运行维护费2.73万元、专用设备购置1.79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2021年度一般公共预算“三公”经费支出决算2.73万元，比上年减少5.27万元，降低65.88%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本年度压缩</w:t>
      </w:r>
      <w:r>
        <w:rPr>
          <w:rFonts w:hint="eastAsia" w:ascii="仿宋_GB2312" w:eastAsia="仿宋_GB2312"/>
          <w:color w:val="auto"/>
          <w:spacing w:val="0"/>
          <w:sz w:val="32"/>
          <w:szCs w:val="32"/>
          <w:highlight w:val="none"/>
          <w:lang w:val="en-US" w:eastAsia="zh-CN"/>
        </w:rPr>
        <w:t>三公</w:t>
      </w:r>
      <w:r>
        <w:rPr>
          <w:rFonts w:hint="eastAsia" w:ascii="仿宋_GB2312" w:eastAsia="仿宋_GB2312"/>
          <w:color w:val="auto"/>
          <w:sz w:val="32"/>
          <w:szCs w:val="32"/>
          <w:highlight w:val="none"/>
          <w:lang w:val="en-US" w:eastAsia="zh-CN"/>
        </w:rPr>
        <w:t>经费支出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公务用车购置及运行维护费支出2.73万元，占100%，比上年减少5.27万元，降低65.88%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本年度压缩</w:t>
      </w:r>
      <w:r>
        <w:rPr>
          <w:rFonts w:hint="eastAsia" w:ascii="仿宋_GB2312" w:eastAsia="仿宋_GB2312"/>
          <w:color w:val="auto"/>
          <w:spacing w:val="0"/>
          <w:sz w:val="32"/>
          <w:szCs w:val="32"/>
          <w:highlight w:val="none"/>
          <w:lang w:val="en-US" w:eastAsia="zh-CN"/>
        </w:rPr>
        <w:t>三公</w:t>
      </w:r>
      <w:r>
        <w:rPr>
          <w:rFonts w:hint="eastAsia" w:ascii="仿宋_GB2312" w:eastAsia="仿宋_GB2312"/>
          <w:color w:val="auto"/>
          <w:sz w:val="32"/>
          <w:szCs w:val="32"/>
          <w:highlight w:val="none"/>
          <w:lang w:val="en-US" w:eastAsia="zh-CN"/>
        </w:rPr>
        <w:t>经费支出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本年度无此项支出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公务用车购置及运行维护费2.73万元，其中，公务用车购置费0.00万元，公务用车运行维护费2.73万元。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车辆保险费，车辆燃油费，车辆维修费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公务用车购置数0辆，公务用车保有量5辆。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本年度无此项支出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与年初预算数相比情况：一般公共预算“三公”经费支出年初预算数10.00万元，决算数2.73万元，预决算差异率-72.70%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本年度压缩</w:t>
      </w:r>
      <w:r>
        <w:rPr>
          <w:rFonts w:hint="eastAsia" w:ascii="仿宋_GB2312" w:eastAsia="仿宋_GB2312"/>
          <w:color w:val="auto"/>
          <w:spacing w:val="0"/>
          <w:sz w:val="32"/>
          <w:szCs w:val="32"/>
          <w:highlight w:val="none"/>
          <w:lang w:val="en-US" w:eastAsia="zh-CN"/>
        </w:rPr>
        <w:t>三公</w:t>
      </w:r>
      <w:r>
        <w:rPr>
          <w:rFonts w:hint="eastAsia" w:ascii="仿宋_GB2312" w:eastAsia="仿宋_GB2312"/>
          <w:color w:val="auto"/>
          <w:sz w:val="32"/>
          <w:szCs w:val="32"/>
          <w:highlight w:val="none"/>
          <w:lang w:val="en-US" w:eastAsia="zh-CN"/>
        </w:rPr>
        <w:t>经费支出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我单位没有购置公务用车</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公务用车运行费预算数10.00万元，决算数2.73万元，预决算差异率-72.70%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本年度压缩</w:t>
      </w:r>
      <w:r>
        <w:rPr>
          <w:rFonts w:hint="eastAsia" w:ascii="仿宋_GB2312" w:eastAsia="仿宋_GB2312"/>
          <w:color w:val="auto"/>
          <w:spacing w:val="0"/>
          <w:sz w:val="32"/>
          <w:szCs w:val="32"/>
          <w:highlight w:val="none"/>
          <w:lang w:val="en-US" w:eastAsia="zh-CN"/>
        </w:rPr>
        <w:t>三公</w:t>
      </w:r>
      <w:bookmarkStart w:id="52" w:name="_GoBack"/>
      <w:bookmarkEnd w:id="52"/>
      <w:r>
        <w:rPr>
          <w:rFonts w:hint="eastAsia" w:ascii="仿宋_GB2312" w:eastAsia="仿宋_GB2312"/>
          <w:color w:val="auto"/>
          <w:sz w:val="32"/>
          <w:szCs w:val="32"/>
          <w:highlight w:val="none"/>
          <w:lang w:val="en-US" w:eastAsia="zh-CN"/>
        </w:rPr>
        <w:t>经费支出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本年度无此项支出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2021年度新疆塔城地区裕民县人力资源和社会保障局（行政单位和参照公务员法管理事业单位）机关运行经费支出68.11万元，比上年增加2.69万元，增长4.11%</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2021年4月社会保险中心合并到我单位，增加了我单位的收入等</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2021年度政府采购支出总额5.35万元，其中：政府采购货物支出1.80万元、政府采购工程支出0.00万元、政府采购服务支出3.55万元。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授予中小企业合同金额5.25万元，占政府采购支出总额的98.13%，其中：授予小微企业合同金额5.25万元，占政府采购支出总额的98.13%。</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13937.32（平方米），价值2,082.19万元。车辆5辆，价值65.44万元，其中：副部（省）级及以上领导用车0辆、主要领导干部用车0辆、机要通信用车0辆、应急保障用车0辆、执法执勤用车1辆、特种专业技术用车0辆、离退休干部用车0辆、其他用车4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eastAsia="zh-CN"/>
        </w:rPr>
        <w:t>人社业务车辆</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8</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119.86</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绩效目标管理和评价工作实现全覆盖，项目资金都已纳入绩效管理和评价内容，为合理利用资金提供了信息保障；二是绩效跟踪监控管理工作进一步加强，对项目中可能存在的问题，提前做出有针对性的解决措施和方案</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我们对于绩效监控学习深度广度都不够，希望多加强这方面的培训，二是深入调查研究不够，三是缺乏把事情做得更好，创造性的开展工作，四是加强财务管理，严格财务审核，在费用报账支付时，按照预算规定的费用项目和用途进行资金使用审核，杜绝超支现象的发生</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本单位将严把资金使用关。资金使用都需经过扶贫、财政、相关技术部门进行联合验收关过，方可进行报账，对资金使用质量进行有效的监管。我单位今后加大宣传力度，开展学习和培训活动，为预算绩效管理相关人员提升业务素质和思想认识。将绩效评价和监控融入到绩效管理的整个过程，提高绩效监控的效率和效果</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RiMDZkOGFmMzNjOGVjNWIyMjk4YThmODk2YWRiMTgifQ=="/>
  </w:docVars>
  <w:rsids>
    <w:rsidRoot w:val="00000000"/>
    <w:rsid w:val="0114267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6D532AE"/>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9F44C2"/>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3812B4A"/>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421320"/>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6253</Words>
  <Characters>6894</Characters>
  <Lines>0</Lines>
  <Paragraphs>0</Paragraphs>
  <TotalTime>0</TotalTime>
  <ScaleCrop>false</ScaleCrop>
  <LinksUpToDate>false</LinksUpToDate>
  <CharactersWithSpaces>7032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2023-09-19T08:39:21Z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