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新疆塔城地区裕民县园林服务中心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1、裕民县园林服务中心主要担负着对全县公共绿地、城区道路、绿化苗木花卉生产用地进行管理；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2、指导城市园林绿化监察工作，对绿化重点工程进行建设、维护；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3、对建成区绿地病虫害防治、植物进行检疫和防治。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新疆塔城地区裕民县园林服务中心2021年度，实有人数111人，其中：在职人员72人，离休人员0人，退休人员39人。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从部门决算单位构成看，新疆塔城地区裕民县园林服务中心部门决算包括：新疆塔城地区裕民县园林服务中心决算。单位无下属预算单位，下设3个处室，分别是：书记主任办公室、办公室、财务室。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2021年度本年收入1,242.73万元，与上年相比，减少637.52万元，降低33.91%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本年度未增加新的绿化业务经费,上年度绿化业务工作已完成结算</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本年支出1,242.73万元，与上年相比，减少637.52万元，降低33.91%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本年度未增加新的绿化业务经费,上年度绿化业务工作已完成结算</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1,242.73万元，其中：财政拨款收入1,242.73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2021年度本年支出1,242.73万元，其中：基本支出1,220.71万元，占98.23%；项目支出22.02万元，占1.77%；上缴上级支出0.00万元，占0.00%；经营支出0.00万元，占0.00%；对附属单位补助支出0.00万元，占0.00%。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2021年度财政拨款收入1,242.73万元，与上年相比，减少613.54万元，降低33.05%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本年度未增加新的绿化业务经费,上年度绿化业务工作已完成结算</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财政拨款支出1,242.73万元，与上年相比，减少613.54万元，降低33.05%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本年度未增加新的绿化业务经费,上年度绿化业务工作已完成结算</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与年初预算数相比情况：财政拨款收入年初预算数1,143.01万元，决算数1,242.73万元，预决算差异率8.72%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本年人员工资福利的增长，南疆务工人员返乡其他工资福利的减少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财政拨款支出年初预算数1,143.01万元，决算数1,242.73万元，预决算差异率8.72%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本年人员工资福利的增长，南疆务工人员返乡其他工资福利的减少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2021年度一般公共预算财政拨款支出1,242.73万元。按功能分类科目项级科目公开，其中：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事业单位离退休25.59万元;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机关事业单位基本养老保险缴费支出76.45万元;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机关事业单位职业年金缴费支出11.96万元;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事业单位医疗44.67万元;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2110401 生态保护22.02万元;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2120501 城乡社区环境卫生1,007.07万元;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住房公积金54.98万元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2021年度一般公共预算财政拨款基本支出1,220.71万元，其中：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965.98万元，包括：基本工资265.06万元、津贴补贴291.19万元、奖金79.9万元、机关事业单位基本养老保险缴费76.45万元、职业年金缴费11.96万元、职工基本医疗保险缴费44.67万元、其他社会保障缴费4.24万元、住房公积金54.98万元、其他工资福利支出110.92万元、退休费7.49万元、生活补助1.02万元、医疗费补助18.11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254.73万元，包括：电费0.6万元、办公费5.79万元、水费70万元、邮电费1.01万元、取暖费5.52万元、差旅费1.2万元、维修（护）费3.93万元、租赁费1.24万元、专用材料费60.59万元、劳务费31.86万元、工会经费9.84万元、福利费7.4万元、其他交通费用1.68万元、其他商品和服务支出50.29万元</w:t>
      </w:r>
      <w:bookmarkStart w:id="52" w:name="_GoBack"/>
      <w:bookmarkEnd w:id="52"/>
      <w:r>
        <w:rPr>
          <w:rFonts w:hint="eastAsia" w:ascii="仿宋_GB2312" w:eastAsia="仿宋_GB2312"/>
          <w:color w:val="auto"/>
          <w:sz w:val="32"/>
          <w:szCs w:val="32"/>
          <w:highlight w:val="none"/>
          <w:lang w:val="en-US" w:eastAsia="zh-CN"/>
        </w:rPr>
        <w:t>、办公设备购置3.8万元。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2021年度新疆塔城地区裕民县园林服务中心（事业单位）公用经费254.73万元，比上年增加193.31万元，增长314.73%</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2021年将绿化用专项业务费列为公用经费支出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2021年度政府采购支出总额144.20万元，其中：政府采购货物支出19.25万元、政府采购工程支出124.95万元、政府采购服务支出0.00万元。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授予中小企业合同金额144.20万元，占政府采购支出总额的100%，其中：授予小微企业合同金额144.20万元，占政府采购支出总额的100.00%。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8.01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单位用业务用车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22.02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编制预算时要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以及政策实施效果开展绩效自评，评价结果报送本级财政部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城区提质改造的项目因受规划、拆迁等因素的影响，未能按计划进度开展，导致部分公共绿地提质改造项目实施时间偏长和跨年度实施情况发生，年初预算会出现偏差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学习，提高思想认识。组织单位财务人员认真学习《预算法》等相关法规、制度，提高单位领导对全面预算管理的重视程度，增强财务人员的预算意识。二是严格管理，控制“三公”经费和公用经费支出。认真贯彻落实中央八项规定，切实加强“三公”经费和会议费、培训费管理，严格按照规定开支有关经费，确保单位“三公”经费只减不增。三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6FE2589"/>
    <w:rsid w:val="074F280E"/>
    <w:rsid w:val="075B1482"/>
    <w:rsid w:val="075F768F"/>
    <w:rsid w:val="07BA7C7F"/>
    <w:rsid w:val="07C3443C"/>
    <w:rsid w:val="08476613"/>
    <w:rsid w:val="084876D1"/>
    <w:rsid w:val="09026D66"/>
    <w:rsid w:val="090B11F4"/>
    <w:rsid w:val="095A35D1"/>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DD04E5"/>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CEA42CA"/>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2425ED"/>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CA7F83"/>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5E0010B"/>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4666</Words>
  <Characters>5197</Characters>
  <Lines>0</Lines>
  <Paragraphs>0</Paragraphs>
  <TotalTime>20</TotalTime>
  <ScaleCrop>false</ScaleCrop>
  <LinksUpToDate>false</LinksUpToDate>
  <CharactersWithSpaces>5242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2023-09-19T08:29:45Z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