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新疆塔城地区裕民县农业农村局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(1)组织实施“三农”工作的发展战略,中长期规划,指导监督农业综合执法。</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(2)统筹推动发展农村社会事业、农村公共服务、农村文化,农村基础设施和乡村治理,牵头组织改善农村人居环境。(3)贯彻深化农村经济体制改革和巩固完善农村基本经营制度的政策。</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(4)指导乡村特色产业,农产品加工业、休闲农业和乡镇企业发展工作。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(5)负责种植业、国有农场、农业机械化等农业各产业的监督管理。</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(6)负责农产品质量安全监督管理。</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(7)组织开展农业资源区划工作。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(8)负责有关农业生产资料和农业投入品的监督管理。</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(9)负责农业防灾减灾、农作物重大病虫害防治工作.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(10)负责农业投资管理。</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(11)承担农业科技体制改革和农业科技创新体系建设。</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(12)指导农业农村人才工作，拟订农业农村人才队伍建设规划并组织实施。</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(13)牵头开展农业对外合作工作。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(14)领导和协调裕民县畜牧兽医局。</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(15)完成县委,政府交办的其他任务。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新疆塔城地区裕民县农业农村局2021年度，实有人数45人，其中：在职人员25人，离休人员0人，退休人员20人。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从部门决算单位构成看，新疆塔城地区裕民县农业农村局部门决算包括：新疆塔城地区裕民县农业农村局决算。单位无下属预算单位，下设3个处室，分别是：业务室、财务室、办公室。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2021年度本年收入7,403.37万元，与上年相比，增加3,249.38万元，增长78.22%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项目数量增加项目资金增加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本年支出7,398.35万元，与上年相比，增加2,835.77万元，增长62.15%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项目数量增加项目资金增加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7,403.37万元，其中：财政拨款收入7,385.29万元，占99.76%；上级补助收入0.00万元，占0.00%；事业收入0.00万元，占0.00%；经营收入0.00万元，占0.00%；附属单位上缴收入0.00万元，占0.00%；其他收入18.08万元，占0.24%。</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2021年度本年支出7,398.35万元，其中：基本支出376.24万元，占5.09%；项目支出7,022.11万元，占94.91%；上缴上级支出0.00万元，占0.00%；经营支出0.00万元，占0.00%；对附属单位补助支出0.00万元，占0.00%。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2021年度财政拨款收入7,385.29万元，与上年相比，增加3,316.87万元，增长81.53%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项目数量增加项目资金增加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财政拨款支出7,385.29万元，与上年相比，增加2,901.32万元，增长64.70%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项目数量增加项目资金增加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与年初预算数相比情况：财政拨款收入年初预算数4,862.51万元，决算数7,385.29万元，预决算差异率51.88%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val="en-US" w:eastAsia="zh-CN"/>
        </w:rPr>
        <w:t>项目数量增加项目资金增加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财政拨款支出年初预算数4,862.51万元，决算数7,385.29万元，预决算差异率51.88%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val="en-US" w:eastAsia="zh-CN"/>
        </w:rPr>
        <w:t>项目数量增加项目资金增加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2021年度一般公共预算财政拨款支出7,385.29万元。按功能分类科目项级科目公开，其中：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行政单位离退休21.14万元;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机关事业单位基本养老保险缴费支出27.59万元;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2101101 行政单位医疗16.12万元;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2101103 公务员医疗补助3.71万元;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2130101 行政运行244.89万元;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2130106 科技转化与推广服务7.50万元;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2130122 农业生产发展834.43万元;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2130135 农业资源保护修复与利用162.21万元;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2130153 农田建设2,718.32万元;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2130199 其他农业农村支出102.90万元;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2130803 农业保险保费补贴3,206.53万元;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住房公积金19.87万元;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2240106 安全监管10.42万元;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2299999 其他支出9.68万元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2021年度一般公共预算财政拨款基本支出373.30万元，其中：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人员经费310.16万元，包括：基本工资96.16</w:t>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万元、津贴补贴97.69万元、奖金24.89万元、机关事业单位基本养老保险缴费27.59万元、职工基本医疗保险缴费15.70万元、公务员医疗补助缴费3.71万元、其他社会保障缴费1.46万元、住房公积金19.87万元、退休费4.17万元、生活补助1.96万元、医疗费补助16.97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63.15万元，包括：办公费3.99万元、电费0.07万元、邮电费0.57万元、取暖费11.90万元、差旅费1.53万元、维修（护）费0.31万元、培训费2.56万元、专用材料费3.93万元、委托业务费29.58万元、工会经费2.83万元、福利费0.41万元、公务用车运行维护费2.34万元、专用设备购置3.13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2021年度一般公共预算“三公”经费支出决算2.34万元，比上年减少3.07万元，降低56.75%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公务用车购置及运行维护费支出2.34万元，占100%，比上年减少3.07万元，降低56.75%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公务用车购置及运行维护费2.34万元，其中，公务用车购置费0.00万元，公务用车运行维护费2.34万元。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公务用车购置费0万元，公务用车运行维护费2.34万元。公务用车运行维护费开支内容包括车辆燃油费、车辆维修费及车辆保险费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公务用车购置数0辆，公务用车保有量5辆。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与年初预算数相比情况：一般公共预算“三公”经费支出年初预算数4.00万元，决算数2.34万元，预决算差异率-41.50%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公务用车运行费预算数4.00万元，决算数2.34万元，预决算差异率-41.50%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2021年度新疆塔城地区裕民县农业农村局（行政单位和参照公务员法管理事业单位）机关运行经费支出63.15万元，比上年减少35.13万元，降低35.74%</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厉行节约，减少办公费用支出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2021年度政府采购支出总额29.70万元，其中：政府采购货物支出23.30万元、政府采购工程支出0.00万元、政府采购服务支出6.41万元。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7181.90（平方米），价值857.76万元。车辆5辆，价值105.48万元，其中：副部（省）级及以上领导用车0辆、主要领导干部用车0辆、机要通信用车0辆、应急保障用车0辆、执法执勤用车0辆、特种专业技术用车0辆、离退休干部用车0辆、其他用车5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农机监理1辆、农业检查1辆、农业地力核查1辆、沼气池吸污2辆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14</w:t>
      </w:r>
      <w:r>
        <w:rPr>
          <w:rFonts w:hint="eastAsia" w:ascii="仿宋_GB2312" w:eastAsia="仿宋_GB2312"/>
          <w:color w:val="auto"/>
          <w:sz w:val="32"/>
          <w:szCs w:val="32"/>
          <w:highlight w:val="none"/>
          <w:lang w:eastAsia="zh-CN"/>
        </w:rPr>
        <w:t>个，共涉及资金</w:t>
      </w:r>
      <w:bookmarkStart w:id="52" w:name="_GoBack"/>
      <w:r>
        <w:rPr>
          <w:rFonts w:hint="eastAsia" w:ascii="仿宋_GB2312" w:eastAsia="仿宋_GB2312"/>
          <w:color w:val="auto"/>
          <w:sz w:val="32"/>
          <w:szCs w:val="32"/>
          <w:highlight w:val="none"/>
          <w:lang w:val="en-US" w:eastAsia="zh-CN"/>
        </w:rPr>
        <w:t>7022.11</w:t>
      </w:r>
      <w:bookmarkEnd w:id="52"/>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明确项目职责分工和成本控制要求，强化责任意识，对各种影响成本的因素和条件采取的一系列预防和调节措施，科学地组织实施成本控制，确保项目的使用资金均控制在预算范围内</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一是基层搜集资料不全，上报不及时，造成资金支付缓慢；二是部分工程完工，但未进行验收，造成资金不能支付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一是督促相关单位及时搜集整理上报资料，加快资金支付；二是及时组织人员进行工程验收，加快资金支付</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0OGRlMzc3YTU1OWRjZTRiOGI0YzhjMjMxNjk0NDQifQ=="/>
  </w:docVars>
  <w:rsids>
    <w:rsidRoot w:val="00000000"/>
    <w:rsid w:val="0131169A"/>
    <w:rsid w:val="01734C27"/>
    <w:rsid w:val="01DD6073"/>
    <w:rsid w:val="02014C29"/>
    <w:rsid w:val="02890C73"/>
    <w:rsid w:val="04044ED1"/>
    <w:rsid w:val="041C5E18"/>
    <w:rsid w:val="04AA63C1"/>
    <w:rsid w:val="04EE377F"/>
    <w:rsid w:val="051C631E"/>
    <w:rsid w:val="0562142B"/>
    <w:rsid w:val="05C47441"/>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3D12A2"/>
    <w:rsid w:val="0D7C3599"/>
    <w:rsid w:val="0E003458"/>
    <w:rsid w:val="0E1F036C"/>
    <w:rsid w:val="0EB33F18"/>
    <w:rsid w:val="0F1410FB"/>
    <w:rsid w:val="0F923480"/>
    <w:rsid w:val="1056158D"/>
    <w:rsid w:val="10861106"/>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74657A"/>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40FA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293A9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4E52CA8"/>
    <w:rsid w:val="750B5BF1"/>
    <w:rsid w:val="75B51FC0"/>
    <w:rsid w:val="75B60031"/>
    <w:rsid w:val="761D4E0C"/>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B126CD"/>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0</TotalTime>
  <ScaleCrop>false</ScaleCrop>
  <LinksUpToDate>false</LinksUpToDate>
  <CharactersWithSpaces>2763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2023-09-22T07:53:10Z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58240A701613457BB24A0FE0F01EE863</vt:lpwstr>
  </property>
</Properties>
</file>