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新疆塔城地区裕民县人民医院</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(一)单位规格:财政差额拨款事业单位；</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（二）单位性质：地区医院为差额事业单位，主要是为裕民县各族人民提供医疗、保健的二级甲等综合医院；</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（三）机构情况：机构数与上一年相比没有变化，只有</w:t>
      </w:r>
      <w:bookmarkStart w:id="52" w:name="_GoBack"/>
      <w:bookmarkEnd w:id="52"/>
      <w:r>
        <w:rPr>
          <w:rFonts w:hint="eastAsia" w:ascii="仿宋_GB2312" w:eastAsia="仿宋_GB2312"/>
          <w:color w:val="auto"/>
          <w:sz w:val="32"/>
          <w:szCs w:val="32"/>
          <w:highlight w:val="none"/>
          <w:lang w:val="en-US" w:eastAsia="zh-CN"/>
        </w:rPr>
        <w:t>一个机构，无其他分支机构；</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（四）单位执行会计制度：执行行政事业政府会计制度；</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（五）单位预算级次说明：一级预算。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新疆塔城地区裕民县人民医院2021年度，实有人数191人，其中：在职人员119人，离休人员0人，退休人员72人。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人民医院部门决算包括：新疆塔城地区裕民县人民医院决算。单位无下属预算单位，下设20个处室，分别是：门诊、发热门诊、急诊、内一科、内二科、儿科、外科、血透室、中医理疗科、妇产科、传染科、手麻科、检验科、功能科、影像科、供应室、药械科、办公室、财务科、后勤科。</w:t>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2021年度本年收入6,948.79万元，与上年相比，减少17.22万元，降低0.25%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财政拨款收入比去年减少915.24万元，其中：2020年发热门诊建设项目1100万元，本年没有这项收入，其他公共卫生项目与上年相比减少135.90万元，突发公共卫生事件应急处理项目与上年相比减少103.34万元，公共卫生项目与上年相比增加18.46万元，人员经费增加405.54万元；本年事业收入比上年增加516.04万元，其他收入比去年增加381.98万元</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本年支出6,877.83万元，与上年相比，减少1,328.46万元，降低16.19%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是医院加强管理 ，减少不避要支出。与上年相比专项疫情项目资金减少639.74万元，基本支出中人员经费减少688.72万元</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6,948.79万元，其中：财政拨款收入2,261.59万元，占32.55%；上级补助收入0.00万元，占0.00%；事业收入4,128.62万元，占59.41%；经营收入0.00万元，占0.00%；附属单位上缴收入0.00万元，占0.00%；其他收入558.58万元，占8.04%。</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2021年度本年支出6,877.83万元，其中：基本支出5,604.63万元，占81.49%；项目支出1,273.20万元，占18.51%；上缴上级支出0.00万元，占0.00%；经营支出0.00万元，占0.00%；对附属单位补助支出0.00万元，占0.00%。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2021年度财政拨款收入2,261.59万元，与上年相比，减少915.24万元，降低28.81%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上年有疫情专项项目资金，所以今年会降低，基建项目1100万元，本年没有这个项目资金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财政拨款支出2,261.59万元，与上年相比，减少1,160.89万元，降低33.92%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上年有疫情专项项目资金，所以今年会降低，基建项目1100万元，本年没有这个项目资金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与年初预算数相比情况：财政拨款收入年初预算数1,707.07万元，决算数2,261.59万元，预决算差异率32.48%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年中新增项目资金100万元及人员每年的普调工资及专业技术人员考职称后人员工资水平逐年提高</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财政拨款支出年初预算数1,707.07万元，决算数2,261.59万元，预决算差异率32.48%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年中新增项目资金100万元及人员每年的普调工资及专业技术人员考职称后人员工资水平逐年提高</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2021年度一般公共预算财政拨款支出2,261.59万元。按功能分类科目项级科目公开，其中：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2060199 其他科学技术管理事务支出19.73万元;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事业单位离退休62.60万元;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机关事业单位基本养老保险缴费支出161.03万元;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机关事业单位职业年金缴费支出80.52万元;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2100201 综合医院1,109.98万元;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2100299 其他公立医院支出315.00万元;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2100408 基本公共卫生服务43.96万元;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2100409 重大公共卫生服务15.26万元;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2100410 突发公共卫生事件应急处理19.92万元;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2100499 其他公共卫生支出140.72万元;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事业单位医疗93.96万元;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2210106 公共租赁住房78.27万元;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住房公积金115.65万元;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其他支出4.99万元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2021年度一般公共预算财政拨款基本支出1,643.47万元，其中：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1,643.47万元，包括：基本工资438.05万元、津贴补贴223.64万元、奖金146.09万元、绩效工资293.18万元、机关事业单位基本养老保险缴费161.03万元、职业年金缴费80.52万元、职工基本医疗保险缴费93.96万元、其他社会保障缴费8.91万元、住房公积金115.65万元、其他工资福利支出19.73万元、退休费14.40万元、抚恤金6.42万元、医疗费补助41.78万元、奖励金0.11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公用经费0.00万元，包括：无此项支出。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是本单位为差额事业单位，无此项预算收入</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是本单位为差额事业单位，无此项预算收入</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是本单位为差额事业单位，无此项预算收入</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是本单位为差额事业单位，无此项预算收入</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是本单位为差额事业单位，无此项预算收入</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是本单位为差额事业单位，无此项预算收入</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是本单位为差额事业单位，无此项预算收入</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是本单位为差额事业单位，无此项预算收入</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是本单位为差额事业单位，无此项预算收入</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是本单位为差额事业单位，无此项预算收入</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是本单位为差额事业单位，无此项预算收入</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是本单位为差额事业单位，无此项预算收入</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2021年度新疆塔城地区裕民县人民医院（事业单位）日常公用经费0.00万元，比上年增加0.00万元，增长0.00%</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本单位为差额事业单位，无此项预算收入</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2021年度政府采购支出总额25.04万元，其中：政府采购货物支出13.24万元、政府采购工程支出0.00万元、政府采购服务支出11.80万元。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授予中小企业合同金额25.04万元，占政府采购支出总额的100%，其中：授予小微企业合同金额25.04万元，占政府采购支出总额的100.00%。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27224.83（平方米），价值5,331.41万元。车辆9辆，价值314.82万元，其中：副部（省）级及以上领导用车0辆、主要领导干部用车0辆、机要通信用车0辆、应急保障用车0辆、执法执勤用车0辆、特种专业技术用车0辆、离退休干部用车0辆、其他用车9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lang w:val="en-US" w:eastAsia="zh-CN"/>
        </w:rPr>
        <w:t>8辆救护车、其中1辆接收医疗专家用；单位价值50万元以上通用设备4台（套）、单位价值100万元以上专用设备5台（套）。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7</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450.91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一是从这次的绩效自评结果看，我院项目实施情况整体良好，各科室工作积极主动；二是使资金发挥了其应有的经济及社会效益</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一是项目资金预算不足，无法解决设备简陋的问题，制约了医院的发展；二是预算执行完成后的绩效管理还有待完善和加强</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要进一步推进医疗卫生机构的综合改革，优化人员结构和分配制度，持续提升服务质量与水平；二是继续加大对医疗卫生机构的经费投入，不断改善医疗卫生服务环境。具体项目自评情况附项目支出绩效自评表</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3OTRjMTQzOTVhMDU1MjkwNmM5ZjNlNDZlYzAzOTUifQ=="/>
  </w:docVars>
  <w:rsids>
    <w:rsidRoot w:val="00000000"/>
    <w:rsid w:val="0131169A"/>
    <w:rsid w:val="01734C27"/>
    <w:rsid w:val="01981D96"/>
    <w:rsid w:val="01DD6073"/>
    <w:rsid w:val="02014C29"/>
    <w:rsid w:val="02890C73"/>
    <w:rsid w:val="03A231F6"/>
    <w:rsid w:val="04044ED1"/>
    <w:rsid w:val="041C5E18"/>
    <w:rsid w:val="04AA63C1"/>
    <w:rsid w:val="04EE377F"/>
    <w:rsid w:val="051C631E"/>
    <w:rsid w:val="0562142B"/>
    <w:rsid w:val="06792773"/>
    <w:rsid w:val="074F280E"/>
    <w:rsid w:val="075B1482"/>
    <w:rsid w:val="075F768F"/>
    <w:rsid w:val="07BA7C7F"/>
    <w:rsid w:val="07C3443C"/>
    <w:rsid w:val="08476613"/>
    <w:rsid w:val="084876D1"/>
    <w:rsid w:val="08792A38"/>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3E2F88"/>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3B42BBB"/>
    <w:rsid w:val="14284AED"/>
    <w:rsid w:val="154A0915"/>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8A0D50"/>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4E7561"/>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6F90B14"/>
    <w:rsid w:val="674212A6"/>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C1DE8"/>
    <w:rsid w:val="721E4A5D"/>
    <w:rsid w:val="72EE56CB"/>
    <w:rsid w:val="73406D5B"/>
    <w:rsid w:val="738E33C3"/>
    <w:rsid w:val="73DB6533"/>
    <w:rsid w:val="73FB6630"/>
    <w:rsid w:val="750B5BF1"/>
    <w:rsid w:val="75B51FC0"/>
    <w:rsid w:val="75B60031"/>
    <w:rsid w:val="75E13CF3"/>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0</TotalTime>
  <ScaleCrop>false</ScaleCrop>
  <LinksUpToDate>false</LinksUpToDate>
  <CharactersWithSpaces>2763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WPS_%!s(int64=1476791097)</cp:lastModifiedBy>
  <dcterms:modified xsi:type="dcterms:W3CDTF">2023-12-22T02:51:20Z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58240A701613457BB24A0FE0F01EE863</vt:lpwstr>
  </property>
</Properties>
</file>