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5798D" w14:textId="77777777" w:rsidR="00CD2F7D" w:rsidRDefault="00CD2F7D">
      <w:pPr>
        <w:jc w:val="center"/>
        <w:rPr>
          <w:rFonts w:ascii="方正小标宋_GBK" w:eastAsia="方正小标宋_GBK" w:hAnsi="宋体"/>
          <w:sz w:val="44"/>
          <w:szCs w:val="44"/>
        </w:rPr>
      </w:pPr>
    </w:p>
    <w:p w14:paraId="2074DE15" w14:textId="77777777" w:rsidR="00CD2F7D" w:rsidRDefault="00CD2F7D">
      <w:pPr>
        <w:jc w:val="center"/>
        <w:rPr>
          <w:rFonts w:ascii="方正小标宋_GBK" w:eastAsia="方正小标宋_GBK" w:hAnsi="宋体"/>
          <w:sz w:val="44"/>
          <w:szCs w:val="44"/>
        </w:rPr>
      </w:pPr>
    </w:p>
    <w:p w14:paraId="3E788686" w14:textId="77777777" w:rsidR="00CD2F7D" w:rsidRDefault="00CD2F7D">
      <w:pPr>
        <w:jc w:val="center"/>
        <w:rPr>
          <w:rFonts w:ascii="方正小标宋_GBK" w:eastAsia="方正小标宋_GBK" w:hAnsi="宋体"/>
          <w:sz w:val="44"/>
          <w:szCs w:val="44"/>
        </w:rPr>
      </w:pPr>
    </w:p>
    <w:p w14:paraId="30CD93AE" w14:textId="77777777" w:rsidR="00CD2F7D" w:rsidRDefault="00CD2F7D">
      <w:pPr>
        <w:jc w:val="center"/>
        <w:rPr>
          <w:rFonts w:ascii="方正小标宋_GBK" w:eastAsia="方正小标宋_GBK" w:hAnsi="宋体"/>
          <w:sz w:val="44"/>
          <w:szCs w:val="44"/>
        </w:rPr>
      </w:pPr>
    </w:p>
    <w:p w14:paraId="59A73B3F" w14:textId="77777777" w:rsidR="00CD2F7D" w:rsidRDefault="00000000">
      <w:pPr>
        <w:jc w:val="center"/>
        <w:rPr>
          <w:rFonts w:ascii="方正小标宋_GBK" w:eastAsia="方正小标宋_GBK" w:hAnsi="宋体"/>
          <w:sz w:val="44"/>
          <w:szCs w:val="44"/>
        </w:rPr>
      </w:pPr>
      <w:r>
        <w:rPr>
          <w:rFonts w:ascii="方正小标宋_GBK" w:eastAsia="方正小标宋_GBK" w:hAnsi="宋体" w:hint="eastAsia"/>
          <w:sz w:val="44"/>
          <w:szCs w:val="44"/>
        </w:rPr>
        <w:t>新疆塔城地区裕民县哈拉布拉乡中心校2021年度部门决算公开说明</w:t>
      </w:r>
    </w:p>
    <w:p w14:paraId="7F98D333" w14:textId="77777777" w:rsidR="00CD2F7D" w:rsidRDefault="00000000">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4EB3A46" w14:textId="77777777" w:rsidR="00CD2F7D" w:rsidRDefault="00000000">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6F2754E3"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14:paraId="52F070EA"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D28A2F0" w14:textId="77777777" w:rsidR="00CD2F7D" w:rsidRDefault="00000000">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AFFBA89"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FA40298"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2045F7A"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CCFB87D"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7E58634"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B5A36DC"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EF751B7"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14:paraId="3106B15F"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8CF65D2" w14:textId="77777777" w:rsidR="00CD2F7D"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7822119"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63CA6EE" w14:textId="77777777" w:rsidR="00CD2F7D" w:rsidRDefault="00000000">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FDCD332" w14:textId="77777777" w:rsidR="00CD2F7D" w:rsidRDefault="00000000">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14:paraId="059F2419" w14:textId="77777777" w:rsidR="00CD2F7D" w:rsidRDefault="00000000">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14:paraId="45387B2B"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2DA0148" w14:textId="77777777" w:rsidR="00CD2F7D" w:rsidRDefault="00000000">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06FE6C6" w14:textId="77777777" w:rsidR="00CD2F7D" w:rsidRDefault="00000000">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FF4F592"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37DD25B"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CFBD1B0"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3A824AE"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493F597"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B41552F"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46DAFCF" w14:textId="77777777" w:rsidR="00CD2F7D" w:rsidRDefault="00000000">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14:paraId="0EFE79D6" w14:textId="77777777" w:rsidR="00CD2F7D" w:rsidRDefault="00000000">
      <w:pPr>
        <w:pStyle w:val="TOC2"/>
        <w:tabs>
          <w:tab w:val="right" w:pos="8306"/>
        </w:tabs>
        <w:ind w:leftChars="0" w:left="0"/>
        <w:rPr>
          <w:rFonts w:ascii="仿宋_GB2312" w:eastAsia="仿宋_GB2312" w:hAnsi="仿宋_GB2312" w:cs="仿宋_GB2312"/>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394ADDB" w14:textId="77777777" w:rsidR="00CD2F7D" w:rsidRDefault="00000000">
      <w:pPr>
        <w:pStyle w:val="TOC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9DE7D5C" w14:textId="77777777" w:rsidR="00CD2F7D" w:rsidRDefault="00000000">
      <w:r>
        <w:rPr>
          <w:rFonts w:ascii="仿宋_GB2312" w:eastAsia="仿宋_GB2312" w:hAnsi="仿宋_GB2312" w:cs="仿宋_GB2312" w:hint="eastAsia"/>
          <w:sz w:val="32"/>
          <w:szCs w:val="32"/>
        </w:rPr>
        <w:fldChar w:fldCharType="end"/>
      </w:r>
    </w:p>
    <w:p w14:paraId="377BDAE2" w14:textId="77777777" w:rsidR="00CD2F7D" w:rsidRDefault="00000000">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2588ED3D" w14:textId="77777777" w:rsidR="00CD2F7D" w:rsidRDefault="00000000">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1020E89"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裕民县哈拉布拉乡中心校属于全额事业拨款单位，隶属裕民县教科局统一负责管理，在教科局的领导下，贯彻执行党和国家的教育方针、教育政策、教育法律和法规，贯彻执行上级教育行政部门的各项规章制度。在政府和上级教育主管部门的领导下，争取资金改善办学条件，为师生的学习和工作提供优美和谐的环境。以科学的发展观和以人为本的管理理念注重学生的全面发展。实施学前教育和小学教育，促进基础教育发展。</w:t>
      </w:r>
    </w:p>
    <w:p w14:paraId="16F45B4A" w14:textId="77777777" w:rsidR="00CD2F7D" w:rsidRDefault="00000000">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D8047B0" w14:textId="35AAC0FB" w:rsidR="00CD2F7D" w:rsidRDefault="00000000" w:rsidP="00052D64">
      <w:pPr>
        <w:ind w:firstLineChars="200" w:firstLine="640"/>
        <w:rPr>
          <w:rFonts w:ascii="仿宋_GB2312" w:eastAsia="仿宋_GB2312"/>
          <w:sz w:val="32"/>
          <w:szCs w:val="32"/>
        </w:rPr>
      </w:pPr>
      <w:r>
        <w:rPr>
          <w:rFonts w:ascii="仿宋_GB2312" w:eastAsia="仿宋_GB2312" w:hint="eastAsia"/>
          <w:sz w:val="32"/>
          <w:szCs w:val="32"/>
        </w:rPr>
        <w:t>新疆塔城地区裕民县哈拉布拉乡中心校2021年度，实有人数135人，其中：在职人员51人，离休人员0人，退休人员84人。</w:t>
      </w:r>
    </w:p>
    <w:p w14:paraId="4D4B0500"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从部门决算单位构成看，新疆塔城地区裕民县哈拉布拉乡中心校部门决算包括：新疆塔城地区裕民县哈拉布拉乡中心校决算。单位无下属预算单位，下设4个处室，分别是：书记校长室、财务室、工会、总务室。</w:t>
      </w:r>
    </w:p>
    <w:p w14:paraId="520BB793" w14:textId="77777777" w:rsidR="00CD2F7D" w:rsidRDefault="00CD2F7D">
      <w:pPr>
        <w:ind w:firstLineChars="200" w:firstLine="640"/>
        <w:rPr>
          <w:rFonts w:ascii="仿宋_GB2312" w:eastAsia="仿宋_GB2312"/>
          <w:sz w:val="32"/>
          <w:szCs w:val="32"/>
        </w:rPr>
      </w:pPr>
    </w:p>
    <w:p w14:paraId="268E75CB" w14:textId="77777777" w:rsidR="00CD2F7D" w:rsidRDefault="00000000">
      <w:pPr>
        <w:rPr>
          <w:rFonts w:ascii="仿宋_GB2312" w:eastAsia="仿宋_GB2312"/>
          <w:sz w:val="32"/>
          <w:szCs w:val="32"/>
        </w:rPr>
      </w:pPr>
      <w:r>
        <w:rPr>
          <w:rFonts w:ascii="仿宋_GB2312" w:eastAsia="仿宋_GB2312" w:hint="eastAsia"/>
          <w:sz w:val="32"/>
          <w:szCs w:val="32"/>
        </w:rPr>
        <w:br w:type="page"/>
      </w:r>
    </w:p>
    <w:p w14:paraId="4249BC18" w14:textId="77777777" w:rsidR="00CD2F7D" w:rsidRDefault="00000000">
      <w:pPr>
        <w:ind w:left="1680" w:firstLine="420"/>
        <w:outlineLvl w:val="0"/>
        <w:rPr>
          <w:rFonts w:ascii="黑体" w:eastAsia="黑体" w:hAnsi="黑体"/>
          <w:sz w:val="32"/>
          <w:szCs w:val="32"/>
        </w:rPr>
      </w:pPr>
      <w:r>
        <w:rPr>
          <w:rFonts w:ascii="黑体" w:eastAsia="黑体" w:hAnsi="黑体" w:hint="eastAsia"/>
          <w:sz w:val="32"/>
          <w:szCs w:val="32"/>
        </w:rPr>
        <w:lastRenderedPageBreak/>
        <w:t>第二部分 部门决算情况说明</w:t>
      </w:r>
    </w:p>
    <w:p w14:paraId="21C1CC46" w14:textId="77777777" w:rsidR="00CD2F7D" w:rsidRDefault="00000000">
      <w:pPr>
        <w:ind w:firstLineChars="200" w:firstLine="640"/>
        <w:outlineLvl w:val="1"/>
        <w:rPr>
          <w:rFonts w:ascii="黑体" w:eastAsia="黑体" w:hAnsi="黑体" w:cs="宋体"/>
          <w:bCs/>
          <w:kern w:val="0"/>
          <w:sz w:val="32"/>
          <w:szCs w:val="32"/>
        </w:rPr>
      </w:pPr>
      <w:bookmarkStart w:id="6" w:name="_Toc25314"/>
      <w:bookmarkStart w:id="7" w:name="_Toc12566"/>
      <w:r>
        <w:rPr>
          <w:rFonts w:ascii="黑体" w:eastAsia="黑体" w:hAnsi="黑体" w:cs="宋体" w:hint="eastAsia"/>
          <w:bCs/>
          <w:kern w:val="0"/>
          <w:sz w:val="32"/>
          <w:szCs w:val="32"/>
        </w:rPr>
        <w:t>一、收入支出决算总体情况说明</w:t>
      </w:r>
      <w:bookmarkEnd w:id="6"/>
      <w:bookmarkEnd w:id="7"/>
    </w:p>
    <w:p w14:paraId="22C64DF5"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2021年度本年收入815.87万元，与上年相比，减少11.03万元，降低1.33%，主要原因是：因疫情原因春季学前开课时间短，拨款结余资金收回。本年支出815.87万元，与上年相比，减少24.90万元，降低2.96%，主要原因是：今年减少基础建设项目。</w:t>
      </w:r>
    </w:p>
    <w:p w14:paraId="2CA97025" w14:textId="77777777" w:rsidR="00CD2F7D" w:rsidRDefault="00000000">
      <w:pPr>
        <w:ind w:firstLineChars="200" w:firstLine="640"/>
        <w:outlineLvl w:val="1"/>
        <w:rPr>
          <w:rFonts w:ascii="黑体" w:eastAsia="黑体" w:hAnsi="黑体" w:cs="宋体"/>
          <w:bCs/>
          <w:kern w:val="0"/>
          <w:sz w:val="32"/>
          <w:szCs w:val="32"/>
        </w:rPr>
      </w:pPr>
      <w:bookmarkStart w:id="8" w:name="_Toc12142"/>
      <w:bookmarkStart w:id="9" w:name="_Toc1979"/>
      <w:r>
        <w:rPr>
          <w:rFonts w:ascii="黑体" w:eastAsia="黑体" w:hAnsi="黑体" w:cs="宋体" w:hint="eastAsia"/>
          <w:bCs/>
          <w:kern w:val="0"/>
          <w:sz w:val="32"/>
          <w:szCs w:val="32"/>
        </w:rPr>
        <w:t>二、收入决算情况说明</w:t>
      </w:r>
      <w:bookmarkEnd w:id="8"/>
      <w:bookmarkEnd w:id="9"/>
    </w:p>
    <w:p w14:paraId="7B40017F"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2021年度本年收入815.87万元，其中：财政拨款收入814.99万元，占99.89%；上级补助收入0.00万元，占0.00%；事业收入0.00万元，占0.00%；经营收入0.00万元，占0.00%；附属单位上缴收入0.00万元，占0.00%；其他收入0.88万元，占0.11%。</w:t>
      </w:r>
    </w:p>
    <w:p w14:paraId="61865EF8" w14:textId="77777777" w:rsidR="00CD2F7D" w:rsidRDefault="00000000">
      <w:pPr>
        <w:ind w:firstLineChars="200" w:firstLine="640"/>
        <w:outlineLvl w:val="1"/>
        <w:rPr>
          <w:rFonts w:ascii="黑体" w:eastAsia="黑体" w:hAnsi="黑体" w:cs="宋体"/>
          <w:bCs/>
          <w:kern w:val="0"/>
          <w:sz w:val="32"/>
          <w:szCs w:val="32"/>
        </w:rPr>
      </w:pPr>
      <w:bookmarkStart w:id="10" w:name="_Toc27961"/>
      <w:bookmarkStart w:id="11" w:name="_Toc13201"/>
      <w:r>
        <w:rPr>
          <w:rFonts w:ascii="黑体" w:eastAsia="黑体" w:hAnsi="黑体" w:cs="宋体" w:hint="eastAsia"/>
          <w:bCs/>
          <w:kern w:val="0"/>
          <w:sz w:val="32"/>
          <w:szCs w:val="32"/>
        </w:rPr>
        <w:t>三、支出决算情况说明</w:t>
      </w:r>
      <w:bookmarkEnd w:id="10"/>
      <w:bookmarkEnd w:id="11"/>
    </w:p>
    <w:p w14:paraId="7AF6376B"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2021年度本年支出815.87万元，其中：基本支出766.66万元，占93.97%；项目支出49.20万元，占6.03%；上缴上级支出0.00万元，占0.00%；经营支出0.00万元，占0.00%；对附属单位补助支出0.00万元，占0.00%。</w:t>
      </w:r>
    </w:p>
    <w:p w14:paraId="52B8F037" w14:textId="77777777" w:rsidR="00CD2F7D" w:rsidRDefault="00000000">
      <w:pPr>
        <w:ind w:firstLineChars="200" w:firstLine="640"/>
        <w:outlineLvl w:val="1"/>
        <w:rPr>
          <w:rFonts w:ascii="黑体" w:eastAsia="黑体" w:hAnsi="黑体" w:cs="宋体"/>
          <w:bCs/>
          <w:kern w:val="0"/>
          <w:sz w:val="32"/>
          <w:szCs w:val="32"/>
        </w:rPr>
      </w:pPr>
      <w:bookmarkStart w:id="12" w:name="_Toc26564"/>
      <w:bookmarkStart w:id="13" w:name="_Toc4393"/>
      <w:r>
        <w:rPr>
          <w:rFonts w:ascii="黑体" w:eastAsia="黑体" w:hAnsi="黑体" w:cs="宋体" w:hint="eastAsia"/>
          <w:bCs/>
          <w:kern w:val="0"/>
          <w:sz w:val="32"/>
          <w:szCs w:val="32"/>
        </w:rPr>
        <w:t>四、财政拨款收入支出决算总体情况说明</w:t>
      </w:r>
      <w:bookmarkEnd w:id="12"/>
      <w:bookmarkEnd w:id="13"/>
    </w:p>
    <w:p w14:paraId="1BE460FF"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2021年度财政拨款收入814.99万元，与上年相比，减少11.91万元，降低1.44%。主要原因是：因疫情原因春季学前开课时间短，拨款结余资金收回。财政拨款支出814.99</w:t>
      </w:r>
      <w:r>
        <w:rPr>
          <w:rFonts w:ascii="仿宋_GB2312" w:eastAsia="仿宋_GB2312" w:hint="eastAsia"/>
          <w:sz w:val="32"/>
          <w:szCs w:val="32"/>
        </w:rPr>
        <w:lastRenderedPageBreak/>
        <w:t>万元，与上年相比，减少25.78万元，降低3.07%，主要原因是：项目类拨款收入减少支出减少。</w:t>
      </w:r>
    </w:p>
    <w:p w14:paraId="2369E982"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821.41万元，决算数814.99万元，预决算差异率-0.78%，主要原因是：因疫情原因文体活动支出减少，教师服务期满转正和教师退休等原因。财政拨款支出年初预算数821.41万元，决算数814.99万元，预决算差异率-0.78%，主要原因是：因疫情原因文体活动支出减少，教师服务期满转正和教师退休等原因。</w:t>
      </w:r>
    </w:p>
    <w:p w14:paraId="312FF605" w14:textId="77777777" w:rsidR="00CD2F7D" w:rsidRDefault="00000000">
      <w:pPr>
        <w:ind w:firstLineChars="200" w:firstLine="640"/>
        <w:outlineLvl w:val="1"/>
        <w:rPr>
          <w:rFonts w:ascii="黑体" w:eastAsia="黑体" w:hAnsi="黑体" w:cs="宋体"/>
          <w:bCs/>
          <w:kern w:val="0"/>
          <w:sz w:val="32"/>
          <w:szCs w:val="32"/>
        </w:rPr>
      </w:pPr>
      <w:bookmarkStart w:id="14" w:name="_Toc20360"/>
      <w:bookmarkStart w:id="15" w:name="_Toc13833"/>
      <w:r>
        <w:rPr>
          <w:rFonts w:ascii="黑体" w:eastAsia="黑体" w:hAnsi="黑体" w:cs="宋体" w:hint="eastAsia"/>
          <w:bCs/>
          <w:kern w:val="0"/>
          <w:sz w:val="32"/>
          <w:szCs w:val="32"/>
        </w:rPr>
        <w:t>五、一般公共预算财政拨款支出决算情况说明</w:t>
      </w:r>
      <w:bookmarkEnd w:id="14"/>
      <w:bookmarkEnd w:id="15"/>
    </w:p>
    <w:p w14:paraId="17FDF6D6"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2021年度一般公共预算财政拨款支出814.99万元。按功能分类科目项级科目公开，其中：</w:t>
      </w:r>
    </w:p>
    <w:p w14:paraId="04F31B21" w14:textId="77777777" w:rsidR="00CD2F7D" w:rsidRDefault="00000000">
      <w:pPr>
        <w:rPr>
          <w:rFonts w:ascii="仿宋_GB2312" w:eastAsia="仿宋_GB2312"/>
          <w:b/>
          <w:bCs/>
          <w:sz w:val="32"/>
          <w:szCs w:val="32"/>
        </w:rPr>
      </w:pPr>
      <w:r>
        <w:rPr>
          <w:rFonts w:ascii="仿宋_GB2312" w:eastAsia="仿宋_GB2312" w:hint="eastAsia"/>
          <w:sz w:val="32"/>
          <w:szCs w:val="32"/>
        </w:rPr>
        <w:t xml:space="preserve">    2050201 学前教育7.80万元;</w:t>
      </w:r>
      <w:r>
        <w:rPr>
          <w:rFonts w:ascii="仿宋_GB2312" w:eastAsia="仿宋_GB2312" w:hint="eastAsia"/>
          <w:sz w:val="32"/>
          <w:szCs w:val="32"/>
        </w:rPr>
        <w:br/>
        <w:t xml:space="preserve">    2050202 小学教育650.95万元;</w:t>
      </w:r>
      <w:r>
        <w:rPr>
          <w:rFonts w:ascii="仿宋_GB2312" w:eastAsia="仿宋_GB2312" w:hint="eastAsia"/>
          <w:sz w:val="32"/>
          <w:szCs w:val="32"/>
        </w:rPr>
        <w:br/>
        <w:t xml:space="preserve">    2080502 事业单位离退休12.09万元;</w:t>
      </w:r>
      <w:r>
        <w:rPr>
          <w:rFonts w:ascii="仿宋_GB2312" w:eastAsia="仿宋_GB2312" w:hint="eastAsia"/>
          <w:sz w:val="32"/>
          <w:szCs w:val="32"/>
        </w:rPr>
        <w:br/>
        <w:t xml:space="preserve">    2080505 机关事业单位基本养老保险缴费支出61.05万元;</w:t>
      </w:r>
      <w:r>
        <w:rPr>
          <w:rFonts w:ascii="仿宋_GB2312" w:eastAsia="仿宋_GB2312" w:hint="eastAsia"/>
          <w:sz w:val="32"/>
          <w:szCs w:val="32"/>
        </w:rPr>
        <w:br/>
        <w:t xml:space="preserve">    2080506 机关事业单位职业年金缴费支出3.43万元;</w:t>
      </w:r>
      <w:r>
        <w:rPr>
          <w:rFonts w:ascii="仿宋_GB2312" w:eastAsia="仿宋_GB2312" w:hint="eastAsia"/>
          <w:sz w:val="32"/>
          <w:szCs w:val="32"/>
        </w:rPr>
        <w:br/>
        <w:t xml:space="preserve">    2101102 事业单位医疗35.51万元;</w:t>
      </w:r>
      <w:r>
        <w:rPr>
          <w:rFonts w:ascii="仿宋_GB2312" w:eastAsia="仿宋_GB2312" w:hint="eastAsia"/>
          <w:sz w:val="32"/>
          <w:szCs w:val="32"/>
        </w:rPr>
        <w:br/>
        <w:t xml:space="preserve">    2210201 住房公积金44.16万元。</w:t>
      </w:r>
    </w:p>
    <w:p w14:paraId="7D647AFB" w14:textId="77777777" w:rsidR="00CD2F7D" w:rsidRDefault="00000000">
      <w:pPr>
        <w:ind w:firstLineChars="200" w:firstLine="640"/>
        <w:outlineLvl w:val="1"/>
        <w:rPr>
          <w:rFonts w:ascii="黑体" w:eastAsia="黑体" w:hAnsi="黑体" w:cs="宋体"/>
          <w:bCs/>
          <w:kern w:val="0"/>
          <w:sz w:val="32"/>
          <w:szCs w:val="32"/>
        </w:rPr>
      </w:pPr>
      <w:bookmarkStart w:id="16" w:name="_Toc11146"/>
      <w:bookmarkStart w:id="17" w:name="_Toc30870"/>
      <w:r>
        <w:rPr>
          <w:rFonts w:ascii="黑体" w:eastAsia="黑体" w:hAnsi="黑体" w:cs="宋体" w:hint="eastAsia"/>
          <w:bCs/>
          <w:kern w:val="0"/>
          <w:sz w:val="32"/>
          <w:szCs w:val="32"/>
        </w:rPr>
        <w:t>六、一般公共预算财政拨款基本支出决算情况说明</w:t>
      </w:r>
      <w:bookmarkEnd w:id="16"/>
      <w:bookmarkEnd w:id="17"/>
    </w:p>
    <w:p w14:paraId="12CEDFA7"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2021年度一般公共预算财政拨款基本支出766.66万元，</w:t>
      </w:r>
      <w:r>
        <w:rPr>
          <w:rFonts w:ascii="仿宋_GB2312" w:eastAsia="仿宋_GB2312" w:hint="eastAsia"/>
          <w:sz w:val="32"/>
          <w:szCs w:val="32"/>
        </w:rPr>
        <w:lastRenderedPageBreak/>
        <w:t>其中：</w:t>
      </w:r>
    </w:p>
    <w:p w14:paraId="2566D5DF" w14:textId="52796D27" w:rsidR="00CD2F7D" w:rsidRPr="005F6872" w:rsidRDefault="00000000">
      <w:pPr>
        <w:ind w:firstLineChars="200" w:firstLine="640"/>
        <w:rPr>
          <w:rFonts w:ascii="仿宋_GB2312" w:eastAsia="仿宋_GB2312"/>
          <w:sz w:val="32"/>
          <w:szCs w:val="32"/>
        </w:rPr>
      </w:pPr>
      <w:r w:rsidRPr="005F6872">
        <w:rPr>
          <w:rFonts w:ascii="仿宋_GB2312" w:eastAsia="仿宋_GB2312" w:hint="eastAsia"/>
          <w:sz w:val="32"/>
          <w:szCs w:val="32"/>
        </w:rPr>
        <w:t>人员经费745.04万元，包括：基本工资</w:t>
      </w:r>
      <w:r w:rsidR="009A0384">
        <w:rPr>
          <w:rFonts w:ascii="仿宋_GB2312" w:eastAsia="仿宋_GB2312"/>
          <w:sz w:val="32"/>
          <w:szCs w:val="32"/>
        </w:rPr>
        <w:t>221.26</w:t>
      </w:r>
      <w:r w:rsidR="009A0384">
        <w:rPr>
          <w:rFonts w:ascii="仿宋_GB2312" w:eastAsia="仿宋_GB2312" w:hint="eastAsia"/>
          <w:sz w:val="32"/>
          <w:szCs w:val="32"/>
        </w:rPr>
        <w:t>万元</w:t>
      </w:r>
      <w:r w:rsidRPr="005F6872">
        <w:rPr>
          <w:rFonts w:ascii="仿宋_GB2312" w:eastAsia="仿宋_GB2312" w:hint="eastAsia"/>
          <w:sz w:val="32"/>
          <w:szCs w:val="32"/>
        </w:rPr>
        <w:t>、津贴补贴</w:t>
      </w:r>
      <w:r w:rsidR="009A0384">
        <w:rPr>
          <w:rFonts w:ascii="仿宋_GB2312" w:eastAsia="仿宋_GB2312" w:hint="eastAsia"/>
          <w:sz w:val="32"/>
          <w:szCs w:val="32"/>
        </w:rPr>
        <w:t>2</w:t>
      </w:r>
      <w:r w:rsidR="009A0384">
        <w:rPr>
          <w:rFonts w:ascii="仿宋_GB2312" w:eastAsia="仿宋_GB2312"/>
          <w:sz w:val="32"/>
          <w:szCs w:val="32"/>
        </w:rPr>
        <w:t>23.</w:t>
      </w:r>
      <w:r w:rsidR="007D57FF">
        <w:rPr>
          <w:rFonts w:ascii="仿宋_GB2312" w:eastAsia="仿宋_GB2312"/>
          <w:sz w:val="32"/>
          <w:szCs w:val="32"/>
        </w:rPr>
        <w:t>10</w:t>
      </w:r>
      <w:r w:rsidR="009A0384">
        <w:rPr>
          <w:rFonts w:ascii="仿宋_GB2312" w:eastAsia="仿宋_GB2312" w:hint="eastAsia"/>
          <w:sz w:val="32"/>
          <w:szCs w:val="32"/>
        </w:rPr>
        <w:t>万元</w:t>
      </w:r>
      <w:r w:rsidRPr="005F6872">
        <w:rPr>
          <w:rFonts w:ascii="仿宋_GB2312" w:eastAsia="仿宋_GB2312" w:hint="eastAsia"/>
          <w:sz w:val="32"/>
          <w:szCs w:val="32"/>
        </w:rPr>
        <w:t>、奖金</w:t>
      </w:r>
      <w:r w:rsidR="009A0384">
        <w:rPr>
          <w:rFonts w:ascii="仿宋_GB2312" w:eastAsia="仿宋_GB2312" w:hint="eastAsia"/>
          <w:sz w:val="32"/>
          <w:szCs w:val="32"/>
        </w:rPr>
        <w:t>5</w:t>
      </w:r>
      <w:r w:rsidR="009A0384">
        <w:rPr>
          <w:rFonts w:ascii="仿宋_GB2312" w:eastAsia="仿宋_GB2312"/>
          <w:sz w:val="32"/>
          <w:szCs w:val="32"/>
        </w:rPr>
        <w:t>2.27</w:t>
      </w:r>
      <w:r w:rsidR="009A0384">
        <w:rPr>
          <w:rFonts w:ascii="仿宋_GB2312" w:eastAsia="仿宋_GB2312" w:hint="eastAsia"/>
          <w:sz w:val="32"/>
          <w:szCs w:val="32"/>
        </w:rPr>
        <w:t>万元</w:t>
      </w:r>
      <w:r w:rsidRPr="005F6872">
        <w:rPr>
          <w:rFonts w:ascii="仿宋_GB2312" w:eastAsia="仿宋_GB2312" w:hint="eastAsia"/>
          <w:sz w:val="32"/>
          <w:szCs w:val="32"/>
        </w:rPr>
        <w:t>、机关事业单位基本养老保险缴费</w:t>
      </w:r>
      <w:r w:rsidR="009A0384">
        <w:rPr>
          <w:rFonts w:ascii="仿宋_GB2312" w:eastAsia="仿宋_GB2312" w:hint="eastAsia"/>
          <w:sz w:val="32"/>
          <w:szCs w:val="32"/>
        </w:rPr>
        <w:t>6</w:t>
      </w:r>
      <w:r w:rsidR="009A0384">
        <w:rPr>
          <w:rFonts w:ascii="仿宋_GB2312" w:eastAsia="仿宋_GB2312"/>
          <w:sz w:val="32"/>
          <w:szCs w:val="32"/>
        </w:rPr>
        <w:t>1.54</w:t>
      </w:r>
      <w:r w:rsidR="009A0384">
        <w:rPr>
          <w:rFonts w:ascii="仿宋_GB2312" w:eastAsia="仿宋_GB2312" w:hint="eastAsia"/>
          <w:sz w:val="32"/>
          <w:szCs w:val="32"/>
        </w:rPr>
        <w:t>万元</w:t>
      </w:r>
      <w:r w:rsidRPr="005F6872">
        <w:rPr>
          <w:rFonts w:ascii="仿宋_GB2312" w:eastAsia="仿宋_GB2312" w:hint="eastAsia"/>
          <w:sz w:val="32"/>
          <w:szCs w:val="32"/>
        </w:rPr>
        <w:t>、职业年金缴费</w:t>
      </w:r>
      <w:r w:rsidR="009A0384">
        <w:rPr>
          <w:rFonts w:ascii="仿宋_GB2312" w:eastAsia="仿宋_GB2312" w:hint="eastAsia"/>
          <w:sz w:val="32"/>
          <w:szCs w:val="32"/>
        </w:rPr>
        <w:t>3</w:t>
      </w:r>
      <w:r w:rsidR="009A0384">
        <w:rPr>
          <w:rFonts w:ascii="仿宋_GB2312" w:eastAsia="仿宋_GB2312"/>
          <w:sz w:val="32"/>
          <w:szCs w:val="32"/>
        </w:rPr>
        <w:t>.43</w:t>
      </w:r>
      <w:r w:rsidR="009A0384">
        <w:rPr>
          <w:rFonts w:ascii="仿宋_GB2312" w:eastAsia="仿宋_GB2312" w:hint="eastAsia"/>
          <w:sz w:val="32"/>
          <w:szCs w:val="32"/>
        </w:rPr>
        <w:t>万元</w:t>
      </w:r>
      <w:r w:rsidRPr="005F6872">
        <w:rPr>
          <w:rFonts w:ascii="仿宋_GB2312" w:eastAsia="仿宋_GB2312" w:hint="eastAsia"/>
          <w:sz w:val="32"/>
          <w:szCs w:val="32"/>
        </w:rPr>
        <w:t>、职工基本医疗保险缴费</w:t>
      </w:r>
      <w:r w:rsidR="009A0384">
        <w:rPr>
          <w:rFonts w:ascii="仿宋_GB2312" w:eastAsia="仿宋_GB2312" w:hint="eastAsia"/>
          <w:sz w:val="32"/>
          <w:szCs w:val="32"/>
        </w:rPr>
        <w:t>3</w:t>
      </w:r>
      <w:r w:rsidR="009A0384">
        <w:rPr>
          <w:rFonts w:ascii="仿宋_GB2312" w:eastAsia="仿宋_GB2312"/>
          <w:sz w:val="32"/>
          <w:szCs w:val="32"/>
        </w:rPr>
        <w:t>5.80</w:t>
      </w:r>
      <w:r w:rsidR="009A0384">
        <w:rPr>
          <w:rFonts w:ascii="仿宋_GB2312" w:eastAsia="仿宋_GB2312" w:hint="eastAsia"/>
          <w:sz w:val="32"/>
          <w:szCs w:val="32"/>
        </w:rPr>
        <w:t>万元</w:t>
      </w:r>
      <w:r w:rsidRPr="005F6872">
        <w:rPr>
          <w:rFonts w:ascii="仿宋_GB2312" w:eastAsia="仿宋_GB2312" w:hint="eastAsia"/>
          <w:sz w:val="32"/>
          <w:szCs w:val="32"/>
        </w:rPr>
        <w:t>、其他社会保障缴费</w:t>
      </w:r>
      <w:r w:rsidR="009A0384">
        <w:rPr>
          <w:rFonts w:ascii="仿宋_GB2312" w:eastAsia="仿宋_GB2312" w:hint="eastAsia"/>
          <w:sz w:val="32"/>
          <w:szCs w:val="32"/>
        </w:rPr>
        <w:t>4</w:t>
      </w:r>
      <w:r w:rsidR="009A0384">
        <w:rPr>
          <w:rFonts w:ascii="仿宋_GB2312" w:eastAsia="仿宋_GB2312"/>
          <w:sz w:val="32"/>
          <w:szCs w:val="32"/>
        </w:rPr>
        <w:t>8.58</w:t>
      </w:r>
      <w:r w:rsidR="009A0384">
        <w:rPr>
          <w:rFonts w:ascii="仿宋_GB2312" w:eastAsia="仿宋_GB2312" w:hint="eastAsia"/>
          <w:sz w:val="32"/>
          <w:szCs w:val="32"/>
        </w:rPr>
        <w:t>万元</w:t>
      </w:r>
      <w:r w:rsidRPr="005F6872">
        <w:rPr>
          <w:rFonts w:ascii="仿宋_GB2312" w:eastAsia="仿宋_GB2312" w:hint="eastAsia"/>
          <w:sz w:val="32"/>
          <w:szCs w:val="32"/>
        </w:rPr>
        <w:t>、住房公积金</w:t>
      </w:r>
      <w:r w:rsidR="009A0384">
        <w:rPr>
          <w:rFonts w:ascii="仿宋_GB2312" w:eastAsia="仿宋_GB2312" w:hint="eastAsia"/>
          <w:sz w:val="32"/>
          <w:szCs w:val="32"/>
        </w:rPr>
        <w:t>4</w:t>
      </w:r>
      <w:r w:rsidR="009A0384">
        <w:rPr>
          <w:rFonts w:ascii="仿宋_GB2312" w:eastAsia="仿宋_GB2312"/>
          <w:sz w:val="32"/>
          <w:szCs w:val="32"/>
        </w:rPr>
        <w:t>4.16</w:t>
      </w:r>
      <w:r w:rsidR="009A0384">
        <w:rPr>
          <w:rFonts w:ascii="仿宋_GB2312" w:eastAsia="仿宋_GB2312" w:hint="eastAsia"/>
          <w:sz w:val="32"/>
          <w:szCs w:val="32"/>
        </w:rPr>
        <w:t>万元</w:t>
      </w:r>
      <w:r w:rsidRPr="005F6872">
        <w:rPr>
          <w:rFonts w:ascii="仿宋_GB2312" w:eastAsia="仿宋_GB2312" w:hint="eastAsia"/>
          <w:sz w:val="32"/>
          <w:szCs w:val="32"/>
        </w:rPr>
        <w:t>、其他工资福利支出</w:t>
      </w:r>
      <w:r w:rsidR="009A0384">
        <w:rPr>
          <w:rFonts w:ascii="仿宋_GB2312" w:eastAsia="仿宋_GB2312" w:hint="eastAsia"/>
          <w:sz w:val="32"/>
          <w:szCs w:val="32"/>
        </w:rPr>
        <w:t>2</w:t>
      </w:r>
      <w:r w:rsidR="009A0384">
        <w:rPr>
          <w:rFonts w:ascii="仿宋_GB2312" w:eastAsia="仿宋_GB2312"/>
          <w:sz w:val="32"/>
          <w:szCs w:val="32"/>
        </w:rPr>
        <w:t>5.02</w:t>
      </w:r>
      <w:r w:rsidR="009A0384">
        <w:rPr>
          <w:rFonts w:ascii="仿宋_GB2312" w:eastAsia="仿宋_GB2312" w:hint="eastAsia"/>
          <w:sz w:val="32"/>
          <w:szCs w:val="32"/>
        </w:rPr>
        <w:t>万元</w:t>
      </w:r>
      <w:r w:rsidRPr="005F6872">
        <w:rPr>
          <w:rFonts w:ascii="仿宋_GB2312" w:eastAsia="仿宋_GB2312" w:hint="eastAsia"/>
          <w:sz w:val="32"/>
          <w:szCs w:val="32"/>
        </w:rPr>
        <w:t>、退休费</w:t>
      </w:r>
      <w:r w:rsidR="009A0384">
        <w:rPr>
          <w:rFonts w:ascii="仿宋_GB2312" w:eastAsia="仿宋_GB2312" w:hint="eastAsia"/>
          <w:sz w:val="32"/>
          <w:szCs w:val="32"/>
        </w:rPr>
        <w:t>1</w:t>
      </w:r>
      <w:r w:rsidR="009A0384">
        <w:rPr>
          <w:rFonts w:ascii="仿宋_GB2312" w:eastAsia="仿宋_GB2312"/>
          <w:sz w:val="32"/>
          <w:szCs w:val="32"/>
        </w:rPr>
        <w:t>2.09</w:t>
      </w:r>
      <w:r w:rsidR="009A0384">
        <w:rPr>
          <w:rFonts w:ascii="仿宋_GB2312" w:eastAsia="仿宋_GB2312" w:hint="eastAsia"/>
          <w:sz w:val="32"/>
          <w:szCs w:val="32"/>
        </w:rPr>
        <w:t>万元</w:t>
      </w:r>
      <w:r w:rsidRPr="005F6872">
        <w:rPr>
          <w:rFonts w:ascii="仿宋_GB2312" w:eastAsia="仿宋_GB2312" w:hint="eastAsia"/>
          <w:sz w:val="32"/>
          <w:szCs w:val="32"/>
        </w:rPr>
        <w:t>、生活补助</w:t>
      </w:r>
      <w:r w:rsidR="009A0384">
        <w:rPr>
          <w:rFonts w:ascii="仿宋_GB2312" w:eastAsia="仿宋_GB2312" w:hint="eastAsia"/>
          <w:sz w:val="32"/>
          <w:szCs w:val="32"/>
        </w:rPr>
        <w:t>1</w:t>
      </w:r>
      <w:r w:rsidR="009A0384">
        <w:rPr>
          <w:rFonts w:ascii="仿宋_GB2312" w:eastAsia="仿宋_GB2312"/>
          <w:sz w:val="32"/>
          <w:szCs w:val="32"/>
        </w:rPr>
        <w:t>7.80</w:t>
      </w:r>
      <w:r w:rsidR="009A0384">
        <w:rPr>
          <w:rFonts w:ascii="仿宋_GB2312" w:eastAsia="仿宋_GB2312" w:hint="eastAsia"/>
          <w:sz w:val="32"/>
          <w:szCs w:val="32"/>
        </w:rPr>
        <w:t>万元</w:t>
      </w:r>
      <w:r w:rsidRPr="005F6872">
        <w:rPr>
          <w:rFonts w:ascii="仿宋_GB2312" w:eastAsia="仿宋_GB2312" w:hint="eastAsia"/>
          <w:sz w:val="32"/>
          <w:szCs w:val="32"/>
        </w:rPr>
        <w:t>。</w:t>
      </w:r>
    </w:p>
    <w:p w14:paraId="75279B6F" w14:textId="3E0B691C" w:rsidR="00CD2F7D" w:rsidRDefault="00000000">
      <w:pPr>
        <w:ind w:firstLineChars="200" w:firstLine="640"/>
        <w:rPr>
          <w:rFonts w:ascii="仿宋_GB2312" w:eastAsia="仿宋_GB2312"/>
          <w:sz w:val="32"/>
          <w:szCs w:val="32"/>
        </w:rPr>
      </w:pPr>
      <w:r w:rsidRPr="005F6872">
        <w:rPr>
          <w:rFonts w:ascii="仿宋_GB2312" w:eastAsia="仿宋_GB2312" w:hint="eastAsia"/>
          <w:sz w:val="32"/>
          <w:szCs w:val="32"/>
        </w:rPr>
        <w:t>公用经费21.62万元，包括：办公费</w:t>
      </w:r>
      <w:r w:rsidR="009A0384">
        <w:rPr>
          <w:rFonts w:ascii="仿宋_GB2312" w:eastAsia="仿宋_GB2312" w:hint="eastAsia"/>
          <w:sz w:val="32"/>
          <w:szCs w:val="32"/>
        </w:rPr>
        <w:t>0</w:t>
      </w:r>
      <w:r w:rsidR="009A0384">
        <w:rPr>
          <w:rFonts w:ascii="仿宋_GB2312" w:eastAsia="仿宋_GB2312"/>
          <w:sz w:val="32"/>
          <w:szCs w:val="32"/>
        </w:rPr>
        <w:t>.65</w:t>
      </w:r>
      <w:r w:rsidR="009A0384">
        <w:rPr>
          <w:rFonts w:ascii="仿宋_GB2312" w:eastAsia="仿宋_GB2312" w:hint="eastAsia"/>
          <w:sz w:val="32"/>
          <w:szCs w:val="32"/>
        </w:rPr>
        <w:t>万元</w:t>
      </w:r>
      <w:r w:rsidRPr="005F6872">
        <w:rPr>
          <w:rFonts w:ascii="仿宋_GB2312" w:eastAsia="仿宋_GB2312" w:hint="eastAsia"/>
          <w:sz w:val="32"/>
          <w:szCs w:val="32"/>
        </w:rPr>
        <w:t>、取暖费</w:t>
      </w:r>
      <w:r w:rsidR="009A0384">
        <w:rPr>
          <w:rFonts w:ascii="仿宋_GB2312" w:eastAsia="仿宋_GB2312" w:hint="eastAsia"/>
          <w:sz w:val="32"/>
          <w:szCs w:val="32"/>
        </w:rPr>
        <w:t>1</w:t>
      </w:r>
      <w:r w:rsidR="009A0384">
        <w:rPr>
          <w:rFonts w:ascii="仿宋_GB2312" w:eastAsia="仿宋_GB2312"/>
          <w:sz w:val="32"/>
          <w:szCs w:val="32"/>
        </w:rPr>
        <w:t>.60</w:t>
      </w:r>
      <w:r w:rsidR="009A0384">
        <w:rPr>
          <w:rFonts w:ascii="仿宋_GB2312" w:eastAsia="仿宋_GB2312" w:hint="eastAsia"/>
          <w:sz w:val="32"/>
          <w:szCs w:val="32"/>
        </w:rPr>
        <w:t>万元</w:t>
      </w:r>
      <w:r w:rsidRPr="005F6872">
        <w:rPr>
          <w:rFonts w:ascii="仿宋_GB2312" w:eastAsia="仿宋_GB2312" w:hint="eastAsia"/>
          <w:sz w:val="32"/>
          <w:szCs w:val="32"/>
        </w:rPr>
        <w:t>、维修（护）费</w:t>
      </w:r>
      <w:r w:rsidR="009A0384">
        <w:rPr>
          <w:rFonts w:ascii="仿宋_GB2312" w:eastAsia="仿宋_GB2312" w:hint="eastAsia"/>
          <w:sz w:val="32"/>
          <w:szCs w:val="32"/>
        </w:rPr>
        <w:t>6</w:t>
      </w:r>
      <w:r w:rsidR="009A0384">
        <w:rPr>
          <w:rFonts w:ascii="仿宋_GB2312" w:eastAsia="仿宋_GB2312"/>
          <w:sz w:val="32"/>
          <w:szCs w:val="32"/>
        </w:rPr>
        <w:t>.35</w:t>
      </w:r>
      <w:r w:rsidR="009A0384">
        <w:rPr>
          <w:rFonts w:ascii="仿宋_GB2312" w:eastAsia="仿宋_GB2312" w:hint="eastAsia"/>
          <w:sz w:val="32"/>
          <w:szCs w:val="32"/>
        </w:rPr>
        <w:t>万元</w:t>
      </w:r>
      <w:r w:rsidRPr="005F6872">
        <w:rPr>
          <w:rFonts w:ascii="仿宋_GB2312" w:eastAsia="仿宋_GB2312" w:hint="eastAsia"/>
          <w:sz w:val="32"/>
          <w:szCs w:val="32"/>
        </w:rPr>
        <w:t>、培训费</w:t>
      </w:r>
      <w:r w:rsidR="009A0384">
        <w:rPr>
          <w:rFonts w:ascii="仿宋_GB2312" w:eastAsia="仿宋_GB2312" w:hint="eastAsia"/>
          <w:sz w:val="32"/>
          <w:szCs w:val="32"/>
        </w:rPr>
        <w:t>1</w:t>
      </w:r>
      <w:r w:rsidR="009A0384">
        <w:rPr>
          <w:rFonts w:ascii="仿宋_GB2312" w:eastAsia="仿宋_GB2312"/>
          <w:sz w:val="32"/>
          <w:szCs w:val="32"/>
        </w:rPr>
        <w:t>.37</w:t>
      </w:r>
      <w:r w:rsidR="009A0384">
        <w:rPr>
          <w:rFonts w:ascii="仿宋_GB2312" w:eastAsia="仿宋_GB2312" w:hint="eastAsia"/>
          <w:sz w:val="32"/>
          <w:szCs w:val="32"/>
        </w:rPr>
        <w:t>万元</w:t>
      </w:r>
      <w:r w:rsidRPr="005F6872">
        <w:rPr>
          <w:rFonts w:ascii="仿宋_GB2312" w:eastAsia="仿宋_GB2312" w:hint="eastAsia"/>
          <w:sz w:val="32"/>
          <w:szCs w:val="32"/>
        </w:rPr>
        <w:t>、工会经费</w:t>
      </w:r>
      <w:r w:rsidR="009A0384">
        <w:rPr>
          <w:rFonts w:ascii="仿宋_GB2312" w:eastAsia="仿宋_GB2312" w:hint="eastAsia"/>
          <w:sz w:val="32"/>
          <w:szCs w:val="32"/>
        </w:rPr>
        <w:t>8</w:t>
      </w:r>
      <w:r w:rsidR="009A0384">
        <w:rPr>
          <w:rFonts w:ascii="仿宋_GB2312" w:eastAsia="仿宋_GB2312"/>
          <w:sz w:val="32"/>
          <w:szCs w:val="32"/>
        </w:rPr>
        <w:t>.23</w:t>
      </w:r>
      <w:r w:rsidR="009A0384">
        <w:rPr>
          <w:rFonts w:ascii="仿宋_GB2312" w:eastAsia="仿宋_GB2312" w:hint="eastAsia"/>
          <w:sz w:val="32"/>
          <w:szCs w:val="32"/>
        </w:rPr>
        <w:t>万元</w:t>
      </w:r>
      <w:r w:rsidRPr="005F6872">
        <w:rPr>
          <w:rFonts w:ascii="仿宋_GB2312" w:eastAsia="仿宋_GB2312" w:hint="eastAsia"/>
          <w:sz w:val="32"/>
          <w:szCs w:val="32"/>
        </w:rPr>
        <w:t>、福利费</w:t>
      </w:r>
      <w:r w:rsidR="009A0384">
        <w:rPr>
          <w:rFonts w:ascii="仿宋_GB2312" w:eastAsia="仿宋_GB2312" w:hint="eastAsia"/>
          <w:sz w:val="32"/>
          <w:szCs w:val="32"/>
        </w:rPr>
        <w:t>3</w:t>
      </w:r>
      <w:r w:rsidR="009A0384">
        <w:rPr>
          <w:rFonts w:ascii="仿宋_GB2312" w:eastAsia="仿宋_GB2312"/>
          <w:sz w:val="32"/>
          <w:szCs w:val="32"/>
        </w:rPr>
        <w:t>.42</w:t>
      </w:r>
      <w:r w:rsidR="009A0384">
        <w:rPr>
          <w:rFonts w:ascii="仿宋_GB2312" w:eastAsia="仿宋_GB2312" w:hint="eastAsia"/>
          <w:sz w:val="32"/>
          <w:szCs w:val="32"/>
        </w:rPr>
        <w:t>万元</w:t>
      </w:r>
      <w:r w:rsidRPr="005F6872">
        <w:rPr>
          <w:rFonts w:ascii="仿宋_GB2312" w:eastAsia="仿宋_GB2312" w:hint="eastAsia"/>
          <w:sz w:val="32"/>
          <w:szCs w:val="32"/>
        </w:rPr>
        <w:t>。</w:t>
      </w:r>
    </w:p>
    <w:p w14:paraId="0B82DFD9" w14:textId="77777777" w:rsidR="00CD2F7D" w:rsidRDefault="00000000">
      <w:pPr>
        <w:ind w:firstLineChars="200" w:firstLine="640"/>
        <w:outlineLvl w:val="1"/>
        <w:rPr>
          <w:rFonts w:ascii="黑体" w:eastAsia="黑体" w:hAnsi="黑体" w:cs="宋体"/>
          <w:bCs/>
          <w:kern w:val="0"/>
          <w:sz w:val="32"/>
          <w:szCs w:val="32"/>
        </w:rPr>
      </w:pPr>
      <w:bookmarkStart w:id="18" w:name="_Toc21518"/>
      <w:bookmarkStart w:id="19" w:name="_Toc7190"/>
      <w:r>
        <w:rPr>
          <w:rFonts w:ascii="黑体" w:eastAsia="黑体" w:hAnsi="黑体" w:cs="宋体" w:hint="eastAsia"/>
          <w:bCs/>
          <w:kern w:val="0"/>
          <w:sz w:val="32"/>
          <w:szCs w:val="32"/>
        </w:rPr>
        <w:t>七、一般公共预算财政拨款“三公”经费支出决算情况说明</w:t>
      </w:r>
      <w:bookmarkEnd w:id="18"/>
      <w:bookmarkEnd w:id="19"/>
    </w:p>
    <w:p w14:paraId="36D23850"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2021年度一般公共预算“三公”经费支出决算0.00万元，比上年增加0.00万元，增长0.00%，主要原因是本单位无三公经费拨款及支出。其中，因公出国（境）费支出0.00万元，占0.00%，比上年增加0.00万元，增长0.00%，主要原因是：本单位无三公经费拨款及支出；公务用车购置及运行维护费支出0.00万元，占0%，比上年增加0.00万元，增长0.00%，主要原因是：本单位无三公经费拨款及支出；公务接待费支出0.00万元，占0%，比上年增加0.00万元，增长0.00%，主要原因是：本单位无三公经费拨款及支出。具体情况如下：</w:t>
      </w:r>
    </w:p>
    <w:p w14:paraId="39C71C8B"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因公出国（境）费支出0.00万元，开支内容包括：本单位无三公经费拨款及支出。单位全年安排的因公出国（境）团组0个，因公出国（境）0人次。</w:t>
      </w:r>
    </w:p>
    <w:p w14:paraId="269EE547"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公务用车购置及运行维护费0.00万元，其中，公务用车购置费0.00万元，公务用车运行维护费0.00万元。公务用车运行维护费开支内容包括本单位无三公经费拨款及支出。公务用车购置数0辆，公务用车保有量0辆。</w:t>
      </w:r>
    </w:p>
    <w:p w14:paraId="38CE9409"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公务接待费0.00万元，开支内容包括本单位无三公经费拨款及支出。单位全年安排的国内公务接待0批次，0人次。</w:t>
      </w:r>
    </w:p>
    <w:p w14:paraId="6811DC6F"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与年初预算数相比情况：一般公共预算“三公”经费支出年初预算数0.00万元，决算数0.00万元，预决算差异率0.00%，主要原因是：本单位无三公经费拨款及支出。</w:t>
      </w:r>
      <w:r>
        <w:rPr>
          <w:rFonts w:ascii="仿宋_GB2312" w:eastAsia="仿宋_GB2312" w:hAnsi="宋体" w:cs="宋体" w:hint="eastAsia"/>
          <w:kern w:val="0"/>
          <w:sz w:val="32"/>
          <w:szCs w:val="32"/>
        </w:rPr>
        <w:t>其中：因公出国（境）费预算数0.00万元，决算数0.00万元，预决算差异率0.00%</w:t>
      </w:r>
      <w:r>
        <w:rPr>
          <w:rFonts w:ascii="仿宋_GB2312" w:eastAsia="仿宋_GB2312" w:hint="eastAsia"/>
          <w:sz w:val="32"/>
          <w:szCs w:val="32"/>
        </w:rPr>
        <w:t>，主要原因是：本单位无三公经费拨款及支出；</w:t>
      </w:r>
      <w:r>
        <w:rPr>
          <w:rFonts w:ascii="仿宋_GB2312" w:eastAsia="仿宋_GB2312" w:hAnsi="宋体" w:cs="宋体" w:hint="eastAsia"/>
          <w:kern w:val="0"/>
          <w:sz w:val="32"/>
          <w:szCs w:val="32"/>
        </w:rPr>
        <w:t>公务用车购置费预算数0.00万元，决算数0.00万元，预决算差异率0.00%</w:t>
      </w:r>
      <w:r>
        <w:rPr>
          <w:rFonts w:ascii="仿宋_GB2312" w:eastAsia="仿宋_GB2312" w:hint="eastAsia"/>
          <w:sz w:val="32"/>
          <w:szCs w:val="32"/>
        </w:rPr>
        <w:t>，主要原因是：本单位无三公经费拨款及支出；</w:t>
      </w:r>
      <w:r>
        <w:rPr>
          <w:rFonts w:ascii="仿宋_GB2312" w:eastAsia="仿宋_GB2312" w:hAnsi="宋体" w:cs="宋体" w:hint="eastAsia"/>
          <w:kern w:val="0"/>
          <w:sz w:val="32"/>
          <w:szCs w:val="32"/>
        </w:rPr>
        <w:t>公务用车运行费预算数0.00万元，决算数0.00万元，预决算差异率0.00%</w:t>
      </w:r>
      <w:r>
        <w:rPr>
          <w:rFonts w:ascii="仿宋_GB2312" w:eastAsia="仿宋_GB2312" w:hint="eastAsia"/>
          <w:sz w:val="32"/>
          <w:szCs w:val="32"/>
        </w:rPr>
        <w:t>，主要原因是：本单位无三公经费拨款及支出；</w:t>
      </w:r>
      <w:r>
        <w:rPr>
          <w:rFonts w:ascii="仿宋_GB2312" w:eastAsia="仿宋_GB2312" w:hAnsi="宋体" w:cs="宋体" w:hint="eastAsia"/>
          <w:kern w:val="0"/>
          <w:sz w:val="32"/>
          <w:szCs w:val="32"/>
        </w:rPr>
        <w:t>公务接待费预算数0.00万元，决算数0.00万元，预决算差异率0.00%</w:t>
      </w:r>
      <w:r>
        <w:rPr>
          <w:rFonts w:ascii="仿宋_GB2312" w:eastAsia="仿宋_GB2312" w:hint="eastAsia"/>
          <w:sz w:val="32"/>
          <w:szCs w:val="32"/>
        </w:rPr>
        <w:t>，主要原因是：本单位无三公经费拨款及支出。</w:t>
      </w:r>
    </w:p>
    <w:p w14:paraId="10426CE3" w14:textId="77777777" w:rsidR="00CD2F7D" w:rsidRDefault="00000000">
      <w:pPr>
        <w:ind w:firstLineChars="200" w:firstLine="640"/>
        <w:outlineLvl w:val="1"/>
        <w:rPr>
          <w:rFonts w:ascii="黑体" w:eastAsia="黑体" w:hAnsi="黑体" w:cs="宋体"/>
          <w:bCs/>
          <w:kern w:val="0"/>
          <w:sz w:val="32"/>
          <w:szCs w:val="32"/>
        </w:rPr>
      </w:pPr>
      <w:bookmarkStart w:id="20" w:name="_Toc5810"/>
      <w:bookmarkStart w:id="21" w:name="_Toc7927"/>
      <w:r>
        <w:rPr>
          <w:rFonts w:ascii="黑体" w:eastAsia="黑体" w:hAnsi="黑体" w:cs="宋体" w:hint="eastAsia"/>
          <w:bCs/>
          <w:kern w:val="0"/>
          <w:sz w:val="32"/>
          <w:szCs w:val="32"/>
        </w:rPr>
        <w:lastRenderedPageBreak/>
        <w:t>八、政府性基金预算收入支出决算情况说明</w:t>
      </w:r>
      <w:bookmarkEnd w:id="20"/>
      <w:bookmarkEnd w:id="21"/>
    </w:p>
    <w:p w14:paraId="5F57FCC8"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我单位本年度无政府性基金预算财政拨款收入支出，政府性基金预算财政拨款收入支出决算表为空表。</w:t>
      </w:r>
    </w:p>
    <w:p w14:paraId="4D8966F6" w14:textId="77777777" w:rsidR="00CD2F7D" w:rsidRDefault="00000000">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14:paraId="2B3FD132"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我单位本年度无国有资本经营预算财政拨款收入支出，国有资本经营预算财政拨款收入支出决算表为空表。</w:t>
      </w:r>
    </w:p>
    <w:p w14:paraId="4A493F3C" w14:textId="77777777" w:rsidR="00CD2F7D" w:rsidRDefault="00000000">
      <w:pPr>
        <w:ind w:firstLineChars="200" w:firstLine="640"/>
        <w:outlineLvl w:val="1"/>
        <w:rPr>
          <w:rFonts w:ascii="黑体" w:eastAsia="黑体" w:hAnsi="黑体" w:cs="宋体"/>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770BB2FD" w14:textId="77777777" w:rsidR="00CD2F7D" w:rsidRDefault="00000000">
      <w:pPr>
        <w:ind w:firstLineChars="200" w:firstLine="640"/>
        <w:outlineLvl w:val="2"/>
        <w:rPr>
          <w:rFonts w:ascii="黑体" w:eastAsia="黑体" w:hAnsi="黑体"/>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16DE9E15"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2021年度新疆塔城地区裕民县哈拉布拉乡中心校（事业单位）公用经费21.62万元，比上年减少5.83万元，降低21.24%，主要原因是上年决算无结转结余资金将挂账电费电采暖费用冲账，支出金额较大，今年正常化后支出金额减少。</w:t>
      </w:r>
    </w:p>
    <w:p w14:paraId="75633D01" w14:textId="77777777" w:rsidR="00CD2F7D" w:rsidRDefault="00000000">
      <w:pPr>
        <w:ind w:firstLineChars="200" w:firstLine="640"/>
        <w:outlineLvl w:val="2"/>
        <w:rPr>
          <w:rFonts w:ascii="黑体" w:eastAsia="黑体" w:hAnsi="黑体"/>
          <w:sz w:val="32"/>
          <w:szCs w:val="32"/>
        </w:rPr>
      </w:pPr>
      <w:bookmarkStart w:id="26" w:name="_Toc227"/>
      <w:bookmarkStart w:id="27" w:name="_Toc26704"/>
      <w:r>
        <w:rPr>
          <w:rFonts w:ascii="黑体" w:eastAsia="黑体" w:hAnsi="黑体" w:hint="eastAsia"/>
          <w:sz w:val="32"/>
          <w:szCs w:val="32"/>
        </w:rPr>
        <w:t>（二）政府采购情况</w:t>
      </w:r>
      <w:bookmarkEnd w:id="26"/>
      <w:bookmarkEnd w:id="27"/>
    </w:p>
    <w:p w14:paraId="7B284419"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2021年度政府采购支出总额5.64万元，其中：政府采购货物支出5.64万元、政府采购工程支出0.00万元、政府采购服务支出0.00万元。</w:t>
      </w:r>
    </w:p>
    <w:p w14:paraId="52C97349" w14:textId="77777777" w:rsidR="00CD2F7D" w:rsidRDefault="00000000">
      <w:pPr>
        <w:ind w:firstLineChars="200" w:firstLine="640"/>
        <w:rPr>
          <w:rFonts w:ascii="仿宋_GB2312" w:eastAsia="仿宋_GB2312"/>
          <w:sz w:val="32"/>
          <w:szCs w:val="32"/>
        </w:rPr>
      </w:pPr>
      <w:bookmarkStart w:id="28" w:name="_Toc4591"/>
      <w:bookmarkStart w:id="29" w:name="_Toc8391"/>
      <w:r>
        <w:rPr>
          <w:rFonts w:ascii="仿宋_GB2312" w:eastAsia="仿宋_GB2312" w:hint="eastAsia"/>
          <w:sz w:val="32"/>
          <w:szCs w:val="32"/>
        </w:rPr>
        <w:t>授予中小企业合同金额5.64万元，占政府采购支出总额的100%，其中：授予小微企业合同金额5.64万元，占政府采购支出总额的100.00%。</w:t>
      </w:r>
    </w:p>
    <w:p w14:paraId="15588945" w14:textId="77777777" w:rsidR="00CD2F7D" w:rsidRDefault="00000000">
      <w:pPr>
        <w:ind w:firstLineChars="200" w:firstLine="640"/>
        <w:outlineLvl w:val="2"/>
        <w:rPr>
          <w:rFonts w:ascii="黑体" w:eastAsia="黑体" w:hAnsi="黑体"/>
          <w:sz w:val="32"/>
          <w:szCs w:val="32"/>
        </w:rPr>
      </w:pPr>
      <w:r>
        <w:rPr>
          <w:rFonts w:ascii="黑体" w:eastAsia="黑体" w:hAnsi="黑体" w:hint="eastAsia"/>
          <w:sz w:val="32"/>
          <w:szCs w:val="32"/>
        </w:rPr>
        <w:t>（三）国有资产占用情况说明</w:t>
      </w:r>
      <w:bookmarkEnd w:id="28"/>
      <w:bookmarkEnd w:id="29"/>
    </w:p>
    <w:p w14:paraId="0096D611"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截止2021年12月31日，单位共有房屋2565.58（平方米），价值173.37万元。车辆0辆，价值0.00万元，其中：</w:t>
      </w:r>
      <w:r>
        <w:rPr>
          <w:rFonts w:ascii="仿宋_GB2312" w:eastAsia="仿宋_GB2312" w:hint="eastAsia"/>
          <w:sz w:val="32"/>
          <w:szCs w:val="32"/>
        </w:rPr>
        <w:lastRenderedPageBreak/>
        <w:t>副部（省）级及以上领导用车0辆、主要领导干部用车0辆、机要通信用车0辆、应急保障用车0辆、执法执勤用车0辆、特种专业技术用车0辆、离退休干部用车0辆、其他用车0辆，其他用车主要是：</w:t>
      </w:r>
      <w:r>
        <w:rPr>
          <w:rFonts w:ascii="仿宋_GB2312" w:eastAsia="仿宋_GB2312" w:hAnsi="仿宋_GB2312" w:cs="仿宋_GB2312" w:hint="eastAsia"/>
          <w:sz w:val="32"/>
          <w:szCs w:val="32"/>
        </w:rPr>
        <w:t>我单位无其他用车</w:t>
      </w:r>
      <w:r>
        <w:rPr>
          <w:rFonts w:ascii="仿宋_GB2312" w:eastAsia="仿宋_GB2312" w:hint="eastAsia"/>
          <w:sz w:val="32"/>
          <w:szCs w:val="32"/>
        </w:rPr>
        <w:t>；单位价值50万元以上通用设备0台（套）、单位价值100万元以上专用设备0台（套）。</w:t>
      </w:r>
    </w:p>
    <w:p w14:paraId="359EEDEB" w14:textId="77777777" w:rsidR="00CD2F7D" w:rsidRDefault="00000000">
      <w:pPr>
        <w:ind w:firstLineChars="200" w:firstLine="640"/>
        <w:outlineLvl w:val="1"/>
        <w:rPr>
          <w:rFonts w:ascii="黑体" w:eastAsia="黑体" w:hAnsi="黑体" w:cs="宋体"/>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2D1A1C80" w14:textId="5C30DFAC" w:rsidR="00CD2F7D"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根据预算绩效管理要求，我单位2021年度开展预算绩效评价项目</w:t>
      </w:r>
      <w:r w:rsidR="00D367B6">
        <w:rPr>
          <w:rFonts w:ascii="仿宋_GB2312" w:eastAsia="仿宋_GB2312"/>
          <w:sz w:val="32"/>
          <w:szCs w:val="32"/>
        </w:rPr>
        <w:t>0</w:t>
      </w:r>
      <w:r>
        <w:rPr>
          <w:rFonts w:ascii="仿宋_GB2312" w:eastAsia="仿宋_GB2312" w:hint="eastAsia"/>
          <w:sz w:val="32"/>
          <w:szCs w:val="32"/>
        </w:rPr>
        <w:t>个，共涉及资金</w:t>
      </w:r>
      <w:r w:rsidR="00D367B6">
        <w:rPr>
          <w:rFonts w:ascii="仿宋_GB2312" w:eastAsia="仿宋_GB2312"/>
          <w:sz w:val="32"/>
          <w:szCs w:val="32"/>
        </w:rPr>
        <w:t>0</w:t>
      </w:r>
      <w:r>
        <w:rPr>
          <w:rFonts w:ascii="仿宋_GB2312" w:eastAsia="仿宋_GB2312" w:hint="eastAsia"/>
          <w:sz w:val="32"/>
          <w:szCs w:val="32"/>
        </w:rPr>
        <w:t>万元。预算绩效管理取得的成效：一是完成全校义务教育阶段学生正常免费供应营养餐；二是确保按时落实我校各项工作的正常运行。保障义务教育阶段学校正常经费开支运转，确保按时落实义务教育阶段各项工作的正常运行，最大限度保证义务教育阶段正常运转，完成教育教学活动和其他日常工作任务；三是完成本年度义务教育保障机制经费支出；四是确保按时落实义务教育阶段非寄宿贫困生生活补助政策；五是完成本年度农村学前三年免费教育保障机制经费支出，确保幼儿学生在园幼儿接受学前三年免费教育。发现的问题及原因：由于上级交办统计调查监测任务的突发性，一些无法预计和列入年初预算的项目支出，需要在年度中间进行预算追加和调整。下一步改进措施：一是在今后的工作中应进一步加强学习，强化绩效管理的理念；加强资金的监管力度；创新管理，落实岗位责</w:t>
      </w:r>
      <w:r>
        <w:rPr>
          <w:rFonts w:ascii="仿宋_GB2312" w:eastAsia="仿宋_GB2312" w:hint="eastAsia"/>
          <w:sz w:val="32"/>
          <w:szCs w:val="32"/>
        </w:rPr>
        <w:lastRenderedPageBreak/>
        <w:t>任；二是细化预算指标，提高预算科学性。具体项目自评情况附项目支出绩效自评表。</w:t>
      </w:r>
    </w:p>
    <w:p w14:paraId="5DC42E6B" w14:textId="77777777" w:rsidR="00CD2F7D" w:rsidRDefault="00000000">
      <w:pPr>
        <w:rPr>
          <w:rFonts w:ascii="仿宋_GB2312" w:eastAsia="仿宋_GB2312"/>
          <w:sz w:val="32"/>
          <w:szCs w:val="32"/>
        </w:rPr>
      </w:pPr>
      <w:r>
        <w:rPr>
          <w:rFonts w:ascii="仿宋_GB2312" w:eastAsia="仿宋_GB2312" w:hint="eastAsia"/>
          <w:sz w:val="32"/>
          <w:szCs w:val="32"/>
        </w:rPr>
        <w:br w:type="page"/>
      </w:r>
    </w:p>
    <w:p w14:paraId="4A35A97E" w14:textId="77777777" w:rsidR="00CD2F7D" w:rsidRDefault="00000000">
      <w:pPr>
        <w:ind w:firstLineChars="200" w:firstLine="640"/>
        <w:jc w:val="center"/>
        <w:outlineLvl w:val="0"/>
        <w:rPr>
          <w:rFonts w:ascii="黑体" w:eastAsia="黑体" w:hAnsi="黑体"/>
          <w:sz w:val="32"/>
          <w:szCs w:val="32"/>
        </w:rPr>
      </w:pPr>
      <w:bookmarkStart w:id="32" w:name="_Toc24143"/>
      <w:bookmarkStart w:id="33" w:name="_Toc3250"/>
      <w:bookmarkStart w:id="34" w:name="_Toc28903"/>
      <w:bookmarkStart w:id="35" w:name="_Toc22784"/>
      <w:r>
        <w:rPr>
          <w:rFonts w:ascii="黑体" w:eastAsia="黑体" w:hAnsi="黑体" w:hint="eastAsia"/>
          <w:sz w:val="32"/>
          <w:szCs w:val="32"/>
        </w:rPr>
        <w:lastRenderedPageBreak/>
        <w:t>第三部分 专业名词解释</w:t>
      </w:r>
      <w:bookmarkEnd w:id="32"/>
      <w:bookmarkEnd w:id="33"/>
    </w:p>
    <w:p w14:paraId="07B432D3"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270E7948"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714F9492"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1503A7F1"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484E889D"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7DBD47E"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17739701"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874C1CD"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423BB767"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7F7D3C5"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项目支出：指在基本支出之外为完成特定行政任务和事业发展目标所发生的支出。</w:t>
      </w:r>
    </w:p>
    <w:p w14:paraId="4983EEE1"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656FFE0F"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14727ADD" w14:textId="77777777" w:rsidR="00CD2F7D"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6E03BF7" w14:textId="77777777" w:rsidR="00CD2F7D" w:rsidRDefault="00000000">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36937BD" w14:textId="77777777" w:rsidR="00CD2F7D" w:rsidRDefault="00000000">
      <w:pPr>
        <w:rPr>
          <w:rFonts w:ascii="仿宋_GB2312" w:eastAsia="仿宋_GB2312"/>
          <w:sz w:val="32"/>
          <w:szCs w:val="32"/>
        </w:rPr>
      </w:pPr>
      <w:r>
        <w:rPr>
          <w:rFonts w:ascii="仿宋_GB2312" w:eastAsia="仿宋_GB2312" w:hint="eastAsia"/>
          <w:sz w:val="32"/>
          <w:szCs w:val="32"/>
        </w:rPr>
        <w:br w:type="page"/>
      </w:r>
    </w:p>
    <w:p w14:paraId="568C32AA" w14:textId="77777777" w:rsidR="00CD2F7D" w:rsidRDefault="00000000">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第四部分 部门决算报表（见附表）</w:t>
      </w:r>
      <w:bookmarkEnd w:id="34"/>
      <w:bookmarkEnd w:id="35"/>
    </w:p>
    <w:p w14:paraId="5B8077E7" w14:textId="77777777" w:rsidR="00CD2F7D" w:rsidRDefault="00000000">
      <w:pPr>
        <w:ind w:firstLineChars="200" w:firstLine="640"/>
        <w:outlineLvl w:val="1"/>
        <w:rPr>
          <w:rFonts w:ascii="黑体" w:eastAsia="黑体" w:hAnsi="黑体" w:cs="宋体"/>
          <w:bCs/>
          <w:kern w:val="0"/>
          <w:sz w:val="32"/>
          <w:szCs w:val="32"/>
        </w:rPr>
      </w:pPr>
      <w:bookmarkStart w:id="36" w:name="_Toc2183"/>
      <w:bookmarkStart w:id="37" w:name="_Toc6062"/>
      <w:r>
        <w:rPr>
          <w:rFonts w:ascii="黑体" w:eastAsia="黑体" w:hAnsi="黑体" w:cs="宋体" w:hint="eastAsia"/>
          <w:bCs/>
          <w:kern w:val="0"/>
          <w:sz w:val="32"/>
          <w:szCs w:val="32"/>
        </w:rPr>
        <w:t>一、《收入支出决算总表》</w:t>
      </w:r>
      <w:bookmarkEnd w:id="36"/>
      <w:bookmarkEnd w:id="37"/>
    </w:p>
    <w:p w14:paraId="6A84B215" w14:textId="77777777" w:rsidR="00CD2F7D" w:rsidRDefault="00000000">
      <w:pPr>
        <w:ind w:firstLineChars="200" w:firstLine="640"/>
        <w:outlineLvl w:val="1"/>
        <w:rPr>
          <w:rFonts w:ascii="黑体" w:eastAsia="黑体" w:hAnsi="黑体" w:cs="宋体"/>
          <w:bCs/>
          <w:kern w:val="0"/>
          <w:sz w:val="32"/>
          <w:szCs w:val="32"/>
        </w:rPr>
      </w:pPr>
      <w:bookmarkStart w:id="38" w:name="_Toc24532"/>
      <w:bookmarkStart w:id="39" w:name="_Toc30364"/>
      <w:r>
        <w:rPr>
          <w:rFonts w:ascii="黑体" w:eastAsia="黑体" w:hAnsi="黑体" w:cs="宋体" w:hint="eastAsia"/>
          <w:bCs/>
          <w:kern w:val="0"/>
          <w:sz w:val="32"/>
          <w:szCs w:val="32"/>
        </w:rPr>
        <w:t>二、《收入决算表》</w:t>
      </w:r>
      <w:bookmarkEnd w:id="38"/>
      <w:bookmarkEnd w:id="39"/>
    </w:p>
    <w:p w14:paraId="7FB0AF4F" w14:textId="77777777" w:rsidR="00CD2F7D" w:rsidRDefault="00000000">
      <w:pPr>
        <w:ind w:firstLineChars="200" w:firstLine="640"/>
        <w:outlineLvl w:val="1"/>
        <w:rPr>
          <w:rFonts w:ascii="黑体" w:eastAsia="黑体" w:hAnsi="黑体" w:cs="宋体"/>
          <w:bCs/>
          <w:kern w:val="0"/>
          <w:sz w:val="32"/>
          <w:szCs w:val="32"/>
        </w:rPr>
      </w:pPr>
      <w:bookmarkStart w:id="40" w:name="_Toc21304"/>
      <w:bookmarkStart w:id="41" w:name="_Toc32434"/>
      <w:r>
        <w:rPr>
          <w:rFonts w:ascii="黑体" w:eastAsia="黑体" w:hAnsi="黑体" w:cs="宋体" w:hint="eastAsia"/>
          <w:bCs/>
          <w:kern w:val="0"/>
          <w:sz w:val="32"/>
          <w:szCs w:val="32"/>
        </w:rPr>
        <w:t>三、《支出决算表》</w:t>
      </w:r>
      <w:bookmarkEnd w:id="40"/>
      <w:bookmarkEnd w:id="41"/>
    </w:p>
    <w:p w14:paraId="3842682E" w14:textId="77777777" w:rsidR="00CD2F7D" w:rsidRDefault="00000000">
      <w:pPr>
        <w:ind w:firstLineChars="200" w:firstLine="640"/>
        <w:outlineLvl w:val="1"/>
        <w:rPr>
          <w:rFonts w:ascii="黑体" w:eastAsia="黑体" w:hAnsi="黑体" w:cs="宋体"/>
          <w:bCs/>
          <w:kern w:val="0"/>
          <w:sz w:val="32"/>
          <w:szCs w:val="32"/>
        </w:rPr>
      </w:pPr>
      <w:bookmarkStart w:id="42" w:name="_Toc28786"/>
      <w:bookmarkStart w:id="43" w:name="_Toc14238"/>
      <w:r>
        <w:rPr>
          <w:rFonts w:ascii="黑体" w:eastAsia="黑体" w:hAnsi="黑体" w:cs="宋体" w:hint="eastAsia"/>
          <w:bCs/>
          <w:kern w:val="0"/>
          <w:sz w:val="32"/>
          <w:szCs w:val="32"/>
        </w:rPr>
        <w:t>四、《财政拨款收入支出决算总表》</w:t>
      </w:r>
      <w:bookmarkEnd w:id="42"/>
      <w:bookmarkEnd w:id="43"/>
    </w:p>
    <w:p w14:paraId="66A37790" w14:textId="77777777" w:rsidR="00CD2F7D" w:rsidRDefault="00000000">
      <w:pPr>
        <w:ind w:firstLineChars="200" w:firstLine="640"/>
        <w:outlineLvl w:val="1"/>
        <w:rPr>
          <w:rFonts w:ascii="黑体" w:eastAsia="黑体" w:hAnsi="黑体" w:cs="宋体"/>
          <w:bCs/>
          <w:kern w:val="0"/>
          <w:sz w:val="32"/>
          <w:szCs w:val="32"/>
        </w:rPr>
      </w:pPr>
      <w:bookmarkStart w:id="44" w:name="_Toc10347"/>
      <w:bookmarkStart w:id="45" w:name="_Toc14869"/>
      <w:r>
        <w:rPr>
          <w:rFonts w:ascii="黑体" w:eastAsia="黑体" w:hAnsi="黑体" w:cs="宋体" w:hint="eastAsia"/>
          <w:bCs/>
          <w:kern w:val="0"/>
          <w:sz w:val="32"/>
          <w:szCs w:val="32"/>
        </w:rPr>
        <w:t>五、《一般公共预算财政拨款支出决算表》</w:t>
      </w:r>
      <w:bookmarkEnd w:id="44"/>
      <w:bookmarkEnd w:id="45"/>
    </w:p>
    <w:p w14:paraId="282EBAC3" w14:textId="77777777" w:rsidR="00CD2F7D" w:rsidRDefault="00000000">
      <w:pPr>
        <w:ind w:firstLineChars="200" w:firstLine="640"/>
        <w:outlineLvl w:val="1"/>
        <w:rPr>
          <w:rFonts w:ascii="黑体" w:eastAsia="黑体" w:hAnsi="黑体" w:cs="宋体"/>
          <w:bCs/>
          <w:kern w:val="0"/>
          <w:sz w:val="32"/>
          <w:szCs w:val="32"/>
        </w:rPr>
      </w:pPr>
      <w:bookmarkStart w:id="46" w:name="_Toc8884"/>
      <w:bookmarkStart w:id="47" w:name="_Toc5626"/>
      <w:r>
        <w:rPr>
          <w:rFonts w:ascii="黑体" w:eastAsia="黑体" w:hAnsi="黑体" w:cs="宋体" w:hint="eastAsia"/>
          <w:bCs/>
          <w:kern w:val="0"/>
          <w:sz w:val="32"/>
          <w:szCs w:val="32"/>
        </w:rPr>
        <w:t>六、《一般公共预算财政拨款基本支出决算表》</w:t>
      </w:r>
      <w:bookmarkEnd w:id="46"/>
      <w:bookmarkEnd w:id="47"/>
    </w:p>
    <w:p w14:paraId="23BF9073" w14:textId="77777777" w:rsidR="00CD2F7D" w:rsidRDefault="00000000">
      <w:pPr>
        <w:ind w:firstLineChars="200" w:firstLine="640"/>
        <w:outlineLvl w:val="1"/>
        <w:rPr>
          <w:rFonts w:ascii="黑体" w:eastAsia="黑体" w:hAnsi="黑体" w:cs="宋体"/>
          <w:bCs/>
          <w:kern w:val="0"/>
          <w:sz w:val="32"/>
          <w:szCs w:val="32"/>
        </w:rPr>
      </w:pPr>
      <w:bookmarkStart w:id="48" w:name="_Toc29106"/>
      <w:bookmarkStart w:id="49" w:name="_Toc32663"/>
      <w:r>
        <w:rPr>
          <w:rFonts w:ascii="黑体" w:eastAsia="黑体" w:hAnsi="黑体" w:cs="宋体" w:hint="eastAsia"/>
          <w:bCs/>
          <w:kern w:val="0"/>
          <w:sz w:val="32"/>
          <w:szCs w:val="32"/>
        </w:rPr>
        <w:t>七、《一般公共预算财政拨款“三公”经费支出决算表》</w:t>
      </w:r>
      <w:bookmarkEnd w:id="48"/>
      <w:bookmarkEnd w:id="49"/>
    </w:p>
    <w:p w14:paraId="07155BCE" w14:textId="77777777" w:rsidR="00CD2F7D" w:rsidRDefault="00000000">
      <w:pPr>
        <w:ind w:firstLineChars="200" w:firstLine="640"/>
        <w:outlineLvl w:val="1"/>
        <w:rPr>
          <w:rFonts w:ascii="黑体" w:eastAsia="黑体" w:hAnsi="黑体" w:cs="宋体"/>
          <w:bCs/>
          <w:kern w:val="0"/>
          <w:sz w:val="32"/>
          <w:szCs w:val="32"/>
        </w:rPr>
      </w:pPr>
      <w:bookmarkStart w:id="50" w:name="_Toc7643"/>
      <w:bookmarkStart w:id="51" w:name="_Toc5453"/>
      <w:r>
        <w:rPr>
          <w:rFonts w:ascii="黑体" w:eastAsia="黑体" w:hAnsi="黑体" w:cs="宋体" w:hint="eastAsia"/>
          <w:bCs/>
          <w:kern w:val="0"/>
          <w:sz w:val="32"/>
          <w:szCs w:val="32"/>
        </w:rPr>
        <w:t>八、《政府性基金预算财政拨款收入支出决算表》</w:t>
      </w:r>
      <w:bookmarkEnd w:id="50"/>
      <w:bookmarkEnd w:id="51"/>
    </w:p>
    <w:p w14:paraId="596FA103" w14:textId="77777777" w:rsidR="00CD2F7D" w:rsidRDefault="00000000">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九、《国有资本经营预算财政拨款收入支出决算表》</w:t>
      </w:r>
    </w:p>
    <w:sectPr w:rsidR="00CD2F7D">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27B06" w14:textId="77777777" w:rsidR="0017009E" w:rsidRDefault="0017009E">
      <w:r>
        <w:separator/>
      </w:r>
    </w:p>
  </w:endnote>
  <w:endnote w:type="continuationSeparator" w:id="0">
    <w:p w14:paraId="0FA84C02" w14:textId="77777777" w:rsidR="0017009E" w:rsidRDefault="00170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611FD" w14:textId="77777777" w:rsidR="00CD2F7D" w:rsidRDefault="00000000">
    <w:pPr>
      <w:pStyle w:val="a4"/>
    </w:pPr>
    <w:r>
      <w:rPr>
        <w:noProof/>
      </w:rPr>
      <mc:AlternateContent>
        <mc:Choice Requires="wps">
          <w:drawing>
            <wp:anchor distT="0" distB="0" distL="114300" distR="114300" simplePos="0" relativeHeight="251659264" behindDoc="0" locked="0" layoutInCell="1" allowOverlap="1" wp14:anchorId="7CA29851" wp14:editId="04BA5CA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823F6C" w14:textId="77777777" w:rsidR="00CD2F7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spAutoFit/>
                    </wps:bodyPr>
                  </wps:wsp>
                </a:graphicData>
              </a:graphic>
            </wp:anchor>
          </w:drawing>
        </mc:Choice>
        <mc:Fallback>
          <w:pict>
            <v:shapetype w14:anchorId="7CA2985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" filled="f" stroked="f">
              <v:textbox style="mso-fit-shape-to-text:t" inset="0,0,0,0">
                <w:txbxContent>
                  <w:p w14:paraId="7C823F6C" w14:textId="77777777" w:rsidR="00CD2F7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B530E" w14:textId="77777777" w:rsidR="0017009E" w:rsidRDefault="0017009E">
      <w:r>
        <w:separator/>
      </w:r>
    </w:p>
  </w:footnote>
  <w:footnote w:type="continuationSeparator" w:id="0">
    <w:p w14:paraId="0284055A" w14:textId="77777777" w:rsidR="0017009E" w:rsidRDefault="001700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EwYWU0YTNhNjM0NDUzZWRkOGYxNjFkODcwNjIzNzcifQ=="/>
  </w:docVars>
  <w:rsids>
    <w:rsidRoot w:val="00CD2F7D"/>
    <w:rsid w:val="00052D64"/>
    <w:rsid w:val="0017009E"/>
    <w:rsid w:val="00221433"/>
    <w:rsid w:val="003217C0"/>
    <w:rsid w:val="005F6872"/>
    <w:rsid w:val="007D57FF"/>
    <w:rsid w:val="009A0384"/>
    <w:rsid w:val="00A56399"/>
    <w:rsid w:val="00A825BE"/>
    <w:rsid w:val="00CD2F7D"/>
    <w:rsid w:val="00D154FC"/>
    <w:rsid w:val="00D367B6"/>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3D45627"/>
    <w:rsid w:val="14284AED"/>
    <w:rsid w:val="15CF1AC0"/>
    <w:rsid w:val="17083B88"/>
    <w:rsid w:val="1742163F"/>
    <w:rsid w:val="176E53C3"/>
    <w:rsid w:val="1805797E"/>
    <w:rsid w:val="18124080"/>
    <w:rsid w:val="182E453B"/>
    <w:rsid w:val="189A656F"/>
    <w:rsid w:val="198202DA"/>
    <w:rsid w:val="19AE79EC"/>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37234B1"/>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D3851D"/>
  <w15:docId w15:val="{2B1B92B2-0331-4C5C-A584-016E29EA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14</Pages>
  <Words>908</Words>
  <Characters>5177</Characters>
  <Application>Microsoft Office Word</Application>
  <DocSecurity>0</DocSecurity>
  <Lines>43</Lines>
  <Paragraphs>12</Paragraphs>
  <ScaleCrop>false</ScaleCrop>
  <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元英 李</cp:lastModifiedBy>
  <cp:revision>6</cp:revision>
  <dcterms:created xsi:type="dcterms:W3CDTF">2014-10-29T20:08:00Z</dcterms:created>
  <dcterms:modified xsi:type="dcterms:W3CDTF">2023-09-19T05:03:00Z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58240A701613457BB24A0FE0F01EE863</vt:lpwstr>
  </property>
</Properties>
</file>