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新疆塔城地区裕民县委办公室</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（1）裕民县委办公室的主要职能：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裕民县委办公室是党政系统的中枢机关，其职能是上传下达、办文办会、信息调研；负责翻译、传输，办理、传递各级党政领导机关及所属部门的明密电报及做好机关保密工作，接待来信来访，搞好县委机关有关的协调服务和安全保卫，为县委当好参谋和助手，保证县委机关及县委领导工作的正常运转。</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（2）统战部的主要职能：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统战部做好民族上层人士、宗教人士、含属、非公有制经济代表人物和非公有制党外知识分子等统战对象的政治思想工作；在信教群众中加强宗教事务法规、条例的宣传教育，加强对宗教事务的管理工作，处理民族宗教纠纷；依法保护公民的信教信仰自由，保护宗教团体和宗教活动场所的合法权益；会同有关部门开展统一战线的宣传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（3）信息化办公室的主要职能：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信息化办公室是负责收集、整理、发布全县政治、经济、社会等方面有价值的信息资料、宣传特色产品的民土人情。负责指导各行政事业单位的信息化建设，开发和利用全县经济信息资源。指导、督促各行政事业单位的互联网上建立自己的网站。筹划建设行政事业单位办公内网并保证网络的正常运转。负责党政公共网的运行与维护。</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（4）机要保密局的主要职能：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机要保密局是负责全县党政系统的机要工作，全县密码的使用、筹备和管理。负责中央、省、市各级来文来电和县委、县政府文电的收发、登记、办理、保管、清退、销毁及归档工作。县委党委文电传阅和阅文管理。县委、政府信息传输和加密工作。县乡机要通信设施的使用和管理。负责传真业务的技术培训和检查指导。完成县委、政府领导交办的其他工作任务。依据《保密法》充分发挥保密工作监督、检查、协调、指导的职能作用；负责组织、指导全县保密宣传教育工作；负责组织开展保密技术检查等工作；负责各级保密法规贯彻执行情况和重点部门、部位保密防范措施的监督检查工作；负责国家秘密文件、材料和其他秘密载体及时清退、销毁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（5）机关工委的主要职能：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机关工委是领导所属机关党的工作，保证党的路线、方针、政策及县委的指示、决定的贯彻落实。负责制定所属机关党的基层组织建设规划，领导基层党组织搞好思想建设、组织建设、作风建设。宣传党的路线、方针、政策，提出加强和改进思想政治工作的意见和措施，并组织实施；负责党员干部理论学习与培训。定期了解群众对党员领导干部的意见，及时向县委反映情况和问题。制定和完善党员发展计划，做好培养入党积极分子和发展新党员工作；负责党内年终统计；党费的收缴和管理工作，党组织的建设、任免等组织工作；配合组织、人事部门对党员干部进行考核和民主评议，做好所属机关干部队伍建设工作，领导所属机关纪检监督工作，协助县委主管领导帮好机关党的工作，完成县委、县政府交办的其他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（6）党史办的主要职能：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党史办是广泛征集具有历史价值、存档价值的报刊、文件、文书档案、口碑资料；政治、经济、军事、群体、文化等各领域资料；负责县情资料和党史资料的收藏、整理工作编写本县地方党史、组织史。文史大事记、负责《裕民县志》、《裕民年鉴》等县志丛书及县情资料书籍的编纂、出版发行；向县委、政府决策提供党史资料依据，为党组织及有关部门落实党的各项政策提供帮助及服务；承办县委、县政府交办的其他任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（7）妇联的主要职能：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妇联是依法维护妇女儿童的合法权益，促进男女平等，做好妇联信访工作；组织全县妇联开展三项主体和五大工程活动，引导妇女参与社会主义新农村建设，参与经济建设，促进社会发展；参与民主管理，民主监督，促进妇女参政；为妇女儿童服务推动社会各界为妇女儿童办实事、办好事；搞好调查研究工作，及时向县委、县政府反映妇女、儿童工</w:t>
      </w:r>
      <w:bookmarkStart w:id="52" w:name="_GoBack"/>
      <w:bookmarkEnd w:id="52"/>
      <w:r>
        <w:rPr>
          <w:rFonts w:hint="eastAsia" w:ascii="仿宋_GB2312" w:eastAsia="仿宋_GB2312"/>
          <w:color w:val="auto"/>
          <w:sz w:val="32"/>
          <w:szCs w:val="32"/>
          <w:highlight w:val="none"/>
          <w:lang w:val="en-US" w:eastAsia="zh-CN"/>
        </w:rPr>
        <w:t>作情况，提出建议。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（8）团委的主要职能：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团委是定期召开团委(扩大）会议，传达上级指示，布置团的决议等；组织开展对团员思想教育和形式教育工作，定期向党委工作系统和上级团组织汇报；抓好团的自身建设。按照《团章》的要求定期进行团的各级组织的换届工作，认真做好推优工作。指导基层团组织开展活动；积极营造健康向上的文化氛围，组织开展丰富多彩的社会实践和青年文化活动；代表、维护和关心青年的正当权益，搞好团的宣传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新疆塔城地区裕民县委办公室2021年度，实有人数125人，其中：在职人员75人，离休人员0人，退休人员50人。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委办公室部门决算包括：新疆塔城地区裕民县委办公室决算。单位无下属预算单位，下设9个处室，分别是：信息科、督查室、保密室、综合科、财务室、深改办、档案馆、专用通信保障中心、国家安全风险中心。</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2021年度本年收入1,939.92万元，与上年相比，减少18,141.06万元，降低90.34%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2020年度政法委从县委办独立出去，项目资金减少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本年支出1,876.44万元，与上年相比，减少18,630.41万元，降低90.85%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2020年度政法委从县委办独立出去，项目资金减少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1,939.92万元，其中：财政拨款收入1,827.23万元，占94.19%；上级补助收入0.00万元，占0.00%；事业收入0.00万元，占0.00%；经营收入0.00万元，占0.00%；附属单位上缴收入0.00万元，占0.00%；其他收入112.69万元，占5.81%。</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2021年度本年支出1,876.44万元，其中：基本支出1,505.33万元，占80.22%；项目支出371.11万元，占19.78%；上缴上级支出0.00万元，占0.00%；经营支出0.00万元，占0.00%；对附属单位补助支出0.00万元，占0.00%。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2021年度财政拨款收入1,827.23万元，与上年相比，减少17,748.06万元，降低90.67%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2020年度政法委从县委办独立出去，项目资金减少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财政拨款支出1,827.23万元，与上年相比，减少18,159.70万元，降低90.86%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2020年度政法委从县委办独立出去，项目资金减少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与年初预算数相比情况：财政拨款收入年初预算数1,367.18万元，决算数1,827.23万元，预决算差异率33.65%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本年度专项业务费、上级专项资金及绩效工资不在年初预算，属于年中追加，所以预决算存在差异率</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财政拨款支出年初预算数1,367.18万元，决算数1,827.23万元，预决算差异率33.65%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本年度专项业务费、上级专项资金及绩效工资不在年初预算，属于年中追加，所以预决算存在差异率</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2021年度一般公共预算财政拨款支出1,827.23万元。按功能分类科目项级科目公开，其中：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2010399 其他政府办公厅（室）及相关机构事务支出22.45万元;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2012301 行政运行140.26万元;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2012399 其他民族事务支出0.16万元;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2012901 行政运行91.35万元;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2012902 一般行政管理事务87.70万元;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2012999 其他群众团体事务支出15.76万元;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2013101 行政运行752.92万元;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2013199 其他党委办公厅（室）及相关机构事务支出74.02万元;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2013499 其他统战事务支出129.12万元;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2040999 其他国家保密支出73.33万元;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行政单位离退休69.74万元;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机关事业单位基本养老保险缴费支出89.11万元;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机关事业单位职业年金缴费支出13.46万元;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2100410 突发公共卫生事件应急处理2.10万元;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行政单位医疗50.01万元;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公务员医疗补助13.47万元;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住房公积金63.72万元;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其他支出138.53万元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2021年度一般公共预算财政拨款基本支出1,456.12万元，其中：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1,095.30万元，包括：基本工资290.56万元、津贴补贴323.43万元、奖金174.78万元、机关事业单位基本养老保险缴费89.11万元、职业年金缴费13.46万元、职工基本医疗保险缴费50.01万元、公务员医疗补助缴费13.47万元、其他社会保障缴费1.12万元、住房公积金63.72万元、其他工资福利支出4.12万元、退休费9.6万元、抚恤金19.67万元、生活补助1.73万元、医疗费补助40.47万元、奖励金0.04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360.81万元，包括：电费10.98万元、办公费134.42万元、水费0.5万元、邮电费13.44万元、取暖费30.81万元、差旅费4.32万元、维修（护）费8.67万元、租赁费0.11万元、培训费0.05万元、劳务费49.54万元、工会经费10.33万元、福利费7.01万元、公务用车运行维护费44.04万元、其他交通费用0.18万元、专用设备购置46.41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2021年度一般公共预算“三公”经费支出决算44.04万元，比上年减少67.98万元，降低60.69%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2020年度购置两辆公务用车，2021年度未购置公务用车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本年度及上年度无因公出国（境）费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公务用车购置及运行维护费支出44.04万元，占100%，比上年减少67.98万元，降低60.69%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2020年度购置两辆公务用车，2021年度未购置公务用车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本年度及上年度无公务接待费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公务用车购置及运行维护费44.04万元，其中，公务用车购置费0.00万元，公务用车运行维护费44.04万元。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车辆加油及车辆保险、车辆维修等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与年初预算数相比情况：一般公共预算“三公”经费支出年初预算数47.00万元，决算数44.04万元，预决算差异率-6.30%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本年度压缩公务用车运行维护费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公务用车运行费预算数47.00万元，决算数44.04万元，预决算差异率-6.30%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本年度压缩公务用车运行维护费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2021年度新疆塔城地区裕民县委办公室（行政单位和参照公务员法管理事业单位）机关运行经费支出360.81万元，比上年减少218.17万元，降低37.68%</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政法委2020年独立出去，机关运行经费减少及本年度厉行节约，节约开支</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2021年度政府采购支出总额11.00万元，其中：政府采购货物支出0.06万元、政府采购工程支出0.00万元、政府采购服务支出10.94万元。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授予中小企业合同金额11.00万元，占政府采购支出总额的100%，其中：授予小微企业合同金额11.00万元，占政府采购支出总额的100.00%。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6732.50（平方米），价值111.90万元。车辆10辆，价值165.70万元，其中：副部（省）级及以上领导用车0辆、主要领导干部用车0辆、机要通信用车0辆、应急保障用车0辆、执法执勤用车0辆、特种专业技术用车0辆、离退休干部用车0辆、其他用车10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业务用车辆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109.27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绩效目标管理和评价工作实现全覆盖，项目资金都已纳入绩效管理和评价内容，为合理利用资金提供了信息保障。加强组织领导，单位定期召开会议学习自治区地区关于预算绩效管理相关文件精神，做到“花钱必问效、无效必问责”的管理要求，切实做好绩效管理工作。二是绩效跟踪监控管理工作进一步加强，对项目中可能存在的问题，提前做出有针对性的解决措施和方案</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对预算绩效监控相关文件学习需要加强，希望业务部门加强专业培训。二是深入调查研究不够。三是创新意识方面需要加强。四是加强财务管理，严格财务审核，报账支付时，按照预算规定的费用项目和用途进行资金使用审核，杜绝超支现象的发生</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一是加强内部管理，严格执行预算。二是坚持厉行节约，进一步降低财务支出，高度重视财政预决算工作，加强预算的约束力，提高工作效率</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lYzI2YTYyNzg3OWI5NjU5NWY0YTFiMjUxNjJmMDkifQ=="/>
  </w:docVars>
  <w:rsids>
    <w:rsidRoot w:val="00000000"/>
    <w:rsid w:val="0131169A"/>
    <w:rsid w:val="01734C27"/>
    <w:rsid w:val="01DD6073"/>
    <w:rsid w:val="02014C29"/>
    <w:rsid w:val="02890C73"/>
    <w:rsid w:val="04044ED1"/>
    <w:rsid w:val="041C5E18"/>
    <w:rsid w:val="04AA63C1"/>
    <w:rsid w:val="04EE377F"/>
    <w:rsid w:val="051327A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9425C4"/>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8517A1D"/>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12</TotalTime>
  <ScaleCrop>false</ScaleCrop>
  <LinksUpToDate>false</LinksUpToDate>
  <CharactersWithSpaces>2763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裴国强</cp:lastModifiedBy>
  <dcterms:modified xsi:type="dcterms:W3CDTF">2023-11-17T10:40:37Z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58240A701613457BB24A0FE0F01EE863</vt:lpwstr>
  </property>
</Properties>
</file>