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line="240" w:lineRule="auto"/>
        <w:jc w:val="center"/>
        <w:textAlignment w:val="auto"/>
        <w:rPr>
          <w:rFonts w:hint="eastAsia" w:ascii="方正小标宋_GBK" w:hAnsi="宋体" w:eastAsia="方正小标宋_GBK"/>
          <w:color w:val="auto"/>
          <w:sz w:val="44"/>
          <w:szCs w:val="44"/>
          <w:highlight w:val="none"/>
        </w:rPr>
      </w:pPr>
    </w:p>
    <w:p>
      <w:pPr>
        <w:widowControl w:val="0"/>
        <w:wordWrap/>
        <w:adjustRightInd/>
        <w:snapToGrid/>
        <w:spacing w:line="240" w:lineRule="auto"/>
        <w:jc w:val="center"/>
        <w:textAlignment w:val="auto"/>
        <w:rPr>
          <w:rFonts w:hint="eastAsia" w:ascii="方正小标宋_GBK" w:hAnsi="宋体" w:eastAsia="方正小标宋_GBK"/>
          <w:color w:val="auto"/>
          <w:sz w:val="44"/>
          <w:szCs w:val="44"/>
          <w:highlight w:val="none"/>
        </w:rPr>
      </w:pPr>
    </w:p>
    <w:p>
      <w:pPr>
        <w:widowControl w:val="0"/>
        <w:wordWrap/>
        <w:adjustRightInd/>
        <w:snapToGrid/>
        <w:spacing w:line="240" w:lineRule="auto"/>
        <w:jc w:val="center"/>
        <w:textAlignment w:val="auto"/>
        <w:rPr>
          <w:rFonts w:hint="eastAsia" w:ascii="方正小标宋_GBK" w:hAnsi="宋体" w:eastAsia="方正小标宋_GBK"/>
          <w:color w:val="auto"/>
          <w:sz w:val="44"/>
          <w:szCs w:val="44"/>
          <w:highlight w:val="none"/>
        </w:rPr>
      </w:pPr>
    </w:p>
    <w:p>
      <w:pPr>
        <w:widowControl w:val="0"/>
        <w:wordWrap/>
        <w:adjustRightInd/>
        <w:snapToGrid/>
        <w:spacing w:line="240" w:lineRule="auto"/>
        <w:jc w:val="center"/>
        <w:textAlignment w:val="auto"/>
        <w:rPr>
          <w:rFonts w:hint="eastAsia" w:ascii="方正小标宋_GBK" w:hAnsi="宋体" w:eastAsia="方正小标宋_GBK"/>
          <w:color w:val="auto"/>
          <w:sz w:val="44"/>
          <w:szCs w:val="44"/>
          <w:highlight w:val="none"/>
        </w:rPr>
      </w:pPr>
    </w:p>
    <w:p>
      <w:pPr>
        <w:widowControl w:val="0"/>
        <w:wordWrap/>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新疆塔城地区裕民县政治协商委员会</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widowControl w:val="0"/>
        <w:wordWrap/>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widowControl w:val="0"/>
        <w:wordWrap/>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widowControl w:val="0"/>
        <w:tabs>
          <w:tab w:val="right" w:pos="8306"/>
        </w:tabs>
        <w:wordWrap/>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widowControl w:val="0"/>
        <w:tabs>
          <w:tab w:val="right" w:pos="8306"/>
        </w:tabs>
        <w:wordWrap/>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widowControl w:val="0"/>
        <w:tabs>
          <w:tab w:val="right" w:pos="8306"/>
        </w:tabs>
        <w:wordWrap/>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widowControl w:val="0"/>
        <w:tabs>
          <w:tab w:val="right" w:pos="8306"/>
        </w:tabs>
        <w:wordWrap/>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widowControl w:val="0"/>
        <w:tabs>
          <w:tab w:val="right" w:pos="8306"/>
        </w:tabs>
        <w:wordWrap/>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widowControl w:val="0"/>
        <w:wordWrap/>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widowControl w:val="0"/>
        <w:wordWrap/>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widowControl w:val="0"/>
        <w:wordWrap/>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widowControl w:val="0"/>
        <w:wordWrap/>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政治协商委员会的主要职能是政治协商、参政议政与民主监督，政治协商是对国家和地方的大政方针以及政治、经济、文化和社会生活中的重要问题在决策之前进行协商和就决策执行过程中的重要问题进行协商；民主监督是对国家宪法、法律和法规的实施，重大方针政策的贯彻执行，国家机关及其工作人员的工作，通过建议和批评进行监督；参政议政是政治协商、民主监督的拓展和延伸，是组织参加政协的各党派、各团体和各族各界人士以多种形式参与国家政治生活的概括性表述。</w:t>
      </w:r>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widowControl w:val="0"/>
        <w:wordWrap/>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新疆塔城地区裕民县政治协商委员会2021年度，实有人数40人，其中：在职人员15人，离休人员0人，退休人员25人。</w:t>
      </w:r>
    </w:p>
    <w:p>
      <w:pPr>
        <w:widowControl w:val="0"/>
        <w:wordWrap/>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color w:val="auto"/>
          <w:sz w:val="32"/>
          <w:szCs w:val="32"/>
          <w:highlight w:val="none"/>
          <w:lang w:val="en-US" w:eastAsia="zh-CN"/>
        </w:rPr>
        <w:t>从部门决算单位构成看，新疆塔城地区裕民县政治协商委员会部门决算包括：新疆塔城地区裕民县政治协商委员会决算。单位无下属预算单位，</w:t>
      </w:r>
      <w:r>
        <w:rPr>
          <w:rFonts w:hint="eastAsia" w:ascii="仿宋_GB2312" w:hAnsi="黑体" w:eastAsia="仿宋_GB2312" w:cs="宋体"/>
          <w:bCs/>
          <w:kern w:val="0"/>
          <w:sz w:val="32"/>
          <w:szCs w:val="32"/>
        </w:rPr>
        <w:t>下设</w:t>
      </w:r>
      <w:r>
        <w:rPr>
          <w:rFonts w:hint="eastAsia" w:ascii="仿宋_GB2312" w:eastAsia="仿宋_GB2312"/>
          <w:sz w:val="32"/>
          <w:szCs w:val="32"/>
          <w:highlight w:val="none"/>
          <w:lang w:val="en-US" w:eastAsia="zh-CN"/>
        </w:rPr>
        <w:t>3</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val="en-US" w:eastAsia="zh-CN"/>
        </w:rPr>
        <w:t>处</w:t>
      </w:r>
      <w:r>
        <w:rPr>
          <w:rFonts w:hint="eastAsia" w:ascii="仿宋_GB2312" w:hAnsi="黑体" w:eastAsia="仿宋_GB2312" w:cs="宋体"/>
          <w:bCs/>
          <w:kern w:val="0"/>
          <w:sz w:val="32"/>
          <w:szCs w:val="32"/>
        </w:rPr>
        <w:t>室，分别是：</w:t>
      </w:r>
      <w:r>
        <w:rPr>
          <w:rFonts w:hint="eastAsia" w:ascii="仿宋_GB2312" w:hAnsi="黑体" w:eastAsia="仿宋_GB2312" w:cs="宋体"/>
          <w:bCs/>
          <w:kern w:val="0"/>
          <w:sz w:val="32"/>
          <w:szCs w:val="32"/>
          <w:lang w:eastAsia="zh-CN"/>
        </w:rPr>
        <w:t>政协</w:t>
      </w:r>
      <w:r>
        <w:rPr>
          <w:rFonts w:hint="eastAsia" w:ascii="仿宋_GB2312" w:hAnsi="黑体" w:eastAsia="仿宋_GB2312" w:cs="宋体"/>
          <w:bCs/>
          <w:kern w:val="0"/>
          <w:sz w:val="32"/>
          <w:szCs w:val="32"/>
        </w:rPr>
        <w:t>综合委员会</w:t>
      </w:r>
      <w:r>
        <w:rPr>
          <w:rFonts w:hint="eastAsia" w:ascii="仿宋_GB2312" w:hAnsi="黑体" w:eastAsia="仿宋_GB2312" w:cs="宋体"/>
          <w:bCs/>
          <w:kern w:val="0"/>
          <w:sz w:val="32"/>
          <w:szCs w:val="32"/>
          <w:lang w:eastAsia="zh-CN"/>
        </w:rPr>
        <w:t>、政协</w:t>
      </w:r>
      <w:r>
        <w:rPr>
          <w:rFonts w:hint="eastAsia" w:ascii="仿宋_GB2312" w:hAnsi="黑体" w:eastAsia="仿宋_GB2312" w:cs="宋体"/>
          <w:bCs/>
          <w:kern w:val="0"/>
          <w:sz w:val="32"/>
          <w:szCs w:val="32"/>
        </w:rPr>
        <w:t>办公室</w:t>
      </w:r>
      <w:r>
        <w:rPr>
          <w:rFonts w:hint="eastAsia" w:ascii="仿宋_GB2312" w:hAnsi="黑体" w:eastAsia="仿宋_GB2312" w:cs="宋体"/>
          <w:bCs/>
          <w:kern w:val="0"/>
          <w:sz w:val="32"/>
          <w:szCs w:val="32"/>
          <w:lang w:eastAsia="zh-CN"/>
        </w:rPr>
        <w:t>、政协文史资料中心</w:t>
      </w:r>
      <w:r>
        <w:rPr>
          <w:rFonts w:hint="eastAsia" w:ascii="仿宋_GB2312" w:hAnsi="宋体" w:eastAsia="仿宋_GB2312" w:cs="宋体"/>
          <w:kern w:val="0"/>
          <w:sz w:val="32"/>
          <w:szCs w:val="32"/>
        </w:rPr>
        <w:t>。</w:t>
      </w:r>
    </w:p>
    <w:p>
      <w:pPr>
        <w:widowControl w:val="0"/>
        <w:wordWrap/>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widowControl w:val="0"/>
        <w:wordWrap/>
        <w:adjustRightInd/>
        <w:snapToGrid/>
        <w:spacing w:line="240" w:lineRule="auto"/>
        <w:jc w:val="both"/>
        <w:textAlignment w:val="auto"/>
        <w:rPr>
          <w:rFonts w:hint="default" w:ascii="仿宋_GB2312" w:eastAsia="仿宋_GB2312"/>
          <w:color w:val="auto"/>
          <w:sz w:val="32"/>
          <w:szCs w:val="32"/>
          <w:highlight w:val="none"/>
          <w:lang w:val="en-US" w:eastAsia="zh-CN"/>
        </w:rPr>
      </w:pPr>
    </w:p>
    <w:p>
      <w:pPr>
        <w:widowControl w:val="0"/>
        <w:wordWrap/>
        <w:adjustRightInd/>
        <w:snapToGrid/>
        <w:spacing w:line="240" w:lineRule="auto"/>
        <w:jc w:val="both"/>
        <w:textAlignment w:val="auto"/>
        <w:rPr>
          <w:rFonts w:hint="default" w:ascii="仿宋_GB2312" w:eastAsia="仿宋_GB2312"/>
          <w:color w:val="auto"/>
          <w:sz w:val="32"/>
          <w:szCs w:val="32"/>
          <w:highlight w:val="none"/>
          <w:lang w:val="en-US" w:eastAsia="zh-CN"/>
        </w:rPr>
      </w:pPr>
    </w:p>
    <w:p>
      <w:pPr>
        <w:widowControl w:val="0"/>
        <w:wordWrap/>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widowControl w:val="0"/>
        <w:wordWrap/>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2021年度本年收入303.32万元，与上年相比，减少21.31万元，降低6.56%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2020年经机关事务管理局批准购置了一辆公务用车，而2021年没有此项开支</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本年支出303.32万元，与上年相比，减少22.63万元，降低6.94%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2020年经机关事务管理局批准购置了一辆公务用车，而2021年没有此项开支</w:t>
      </w:r>
      <w:r>
        <w:rPr>
          <w:rFonts w:hint="eastAsia" w:ascii="仿宋_GB2312" w:eastAsia="仿宋_GB2312"/>
          <w:b w:val="0"/>
          <w:bCs w:val="0"/>
          <w:color w:val="auto"/>
          <w:sz w:val="32"/>
          <w:szCs w:val="32"/>
          <w:highlight w:val="none"/>
          <w:lang w:eastAsia="zh-CN"/>
        </w:rPr>
        <w:t>。</w:t>
      </w:r>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widowControl w:val="0"/>
        <w:wordWrap/>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303.32万元，其中：财政拨款收入303.32万元，占100.00%；上级补助收入0.00万元，占0.00%；事业收入0.00万元，占0.00%；经营收入0.00万元，占0.00%；附属单位上缴收入0.00万元，占0.00%；其他收入0.00万元，占0.00%。</w:t>
      </w:r>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widowControl w:val="0"/>
        <w:wordWrap/>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2021年度本年支出303.32万元，其中：基本支出287.63万元，占94.82%；项目支出15.70万元，占5.18%；上缴上级支出0.00万元，占0.00%；经营支出0.00万元，占0.00%；对附属单位补助支出0.00万元，占0.00%。</w:t>
      </w:r>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widowControl w:val="0"/>
        <w:wordWrap/>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2021年度财政拨款收入303.32万元，与上年相比，减少21.31万元，降低6.56%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2020年经机关事务管理局批准购置了一辆公务用车，同时压缩开支，公用经费减少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财政拨款支出303.32万元，与上年相比，减少22.63万元，降低6.94%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2020年经机关事务管理局批准购置了一辆公务用车，而2021年没有此项开支</w:t>
      </w:r>
      <w:r>
        <w:rPr>
          <w:rFonts w:hint="eastAsia" w:ascii="仿宋_GB2312" w:eastAsia="仿宋_GB2312"/>
          <w:color w:val="auto"/>
          <w:sz w:val="32"/>
          <w:szCs w:val="32"/>
          <w:highlight w:val="none"/>
        </w:rPr>
        <w:t>。</w:t>
      </w:r>
    </w:p>
    <w:p>
      <w:pPr>
        <w:widowControl w:val="0"/>
        <w:wordWrap/>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与年初预算数相比情况：财政拨款收入年初预算数266.24万元，决算数303.32万元，预决算差异率13.93%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在职退休人员均增加1人，人员经费增加，追加工作队经费、增加绩效工资等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财政拨款支出年初预算数266.24万元，决算数303.32万元，预决算差异率13.93%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在职退休人员均增加1人，人员经费增加，追加工作队经费、增加绩效、调资工资等</w:t>
      </w:r>
      <w:r>
        <w:rPr>
          <w:rFonts w:hint="eastAsia" w:ascii="仿宋_GB2312" w:eastAsia="仿宋_GB2312"/>
          <w:color w:val="auto"/>
          <w:sz w:val="32"/>
          <w:szCs w:val="32"/>
          <w:highlight w:val="none"/>
        </w:rPr>
        <w:t>。</w:t>
      </w:r>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widowControl w:val="0"/>
        <w:wordWrap/>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2021年度一般公共预算财政拨款支出303.32万元。按功能分类科目项级科目公开，其中：</w:t>
      </w:r>
    </w:p>
    <w:p>
      <w:pPr>
        <w:widowControl w:val="0"/>
        <w:wordWrap/>
        <w:adjustRightInd/>
        <w:snapToGrid/>
        <w:spacing w:line="240" w:lineRule="auto"/>
        <w:ind w:firstLine="640" w:firstLineChars="200"/>
        <w:textAlignment w:val="auto"/>
        <w:rPr>
          <w:rFonts w:hint="eastAsia" w:ascii="仿宋_GB2312" w:hAnsi="仿宋" w:eastAsia="仿宋_GB2312" w:cs="仿宋"/>
          <w:sz w:val="32"/>
          <w:szCs w:val="32"/>
          <w:lang w:eastAsia="zh-CN"/>
        </w:rPr>
      </w:pPr>
      <w:bookmarkStart w:id="16" w:name="_Toc30870"/>
      <w:bookmarkStart w:id="17" w:name="_Toc11146"/>
      <w:r>
        <w:rPr>
          <w:rFonts w:hint="eastAsia" w:ascii="仿宋_GB2312" w:hAnsi="仿宋" w:eastAsia="仿宋_GB2312" w:cs="仿宋"/>
          <w:sz w:val="32"/>
          <w:szCs w:val="32"/>
        </w:rPr>
        <w:t>2010201</w:t>
      </w:r>
      <w:r>
        <w:rPr>
          <w:rFonts w:hint="eastAsia" w:ascii="仿宋_GB2312" w:hAnsi="仿宋" w:eastAsia="仿宋_GB2312" w:cs="仿宋"/>
          <w:sz w:val="32"/>
          <w:szCs w:val="32"/>
          <w:lang w:eastAsia="zh-CN"/>
        </w:rPr>
        <w:t>行政运行</w:t>
      </w:r>
      <w:r>
        <w:rPr>
          <w:rFonts w:hint="eastAsia" w:ascii="仿宋_GB2312" w:hAnsi="仿宋" w:eastAsia="仿宋_GB2312" w:cs="仿宋"/>
          <w:sz w:val="32"/>
          <w:szCs w:val="32"/>
          <w:lang w:val="en-US" w:eastAsia="zh-CN"/>
        </w:rPr>
        <w:t>195.52</w:t>
      </w:r>
      <w:r>
        <w:rPr>
          <w:rFonts w:hint="eastAsia" w:ascii="仿宋_GB2312" w:hAnsi="仿宋" w:eastAsia="仿宋_GB2312" w:cs="仿宋"/>
          <w:sz w:val="32"/>
          <w:szCs w:val="32"/>
        </w:rPr>
        <w:t>万元</w:t>
      </w:r>
      <w:r>
        <w:rPr>
          <w:rFonts w:hint="eastAsia" w:ascii="仿宋_GB2312" w:hAnsi="仿宋" w:eastAsia="仿宋_GB2312" w:cs="仿宋"/>
          <w:sz w:val="32"/>
          <w:szCs w:val="32"/>
          <w:lang w:eastAsia="zh-CN"/>
        </w:rPr>
        <w:t>；</w:t>
      </w:r>
    </w:p>
    <w:p>
      <w:pPr>
        <w:widowControl w:val="0"/>
        <w:wordWrap/>
        <w:adjustRightInd/>
        <w:snapToGrid/>
        <w:spacing w:line="240" w:lineRule="auto"/>
        <w:ind w:firstLine="640" w:firstLineChars="200"/>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2010204政协会议3万元；</w:t>
      </w:r>
    </w:p>
    <w:p>
      <w:pPr>
        <w:widowControl w:val="0"/>
        <w:wordWrap/>
        <w:adjustRightInd/>
        <w:snapToGrid/>
        <w:spacing w:line="240" w:lineRule="auto"/>
        <w:ind w:firstLine="640" w:firstLineChars="200"/>
        <w:textAlignment w:val="auto"/>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2010205委员视察3.22万元；</w:t>
      </w:r>
    </w:p>
    <w:p>
      <w:pPr>
        <w:widowControl w:val="0"/>
        <w:wordWrap/>
        <w:adjustRightInd/>
        <w:snapToGrid/>
        <w:spacing w:line="240" w:lineRule="auto"/>
        <w:ind w:firstLine="640" w:firstLineChars="20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rPr>
        <w:t>2010299</w:t>
      </w:r>
      <w:r>
        <w:rPr>
          <w:rFonts w:hint="eastAsia" w:ascii="仿宋_GB2312" w:hAnsi="仿宋" w:eastAsia="仿宋_GB2312" w:cs="仿宋"/>
          <w:sz w:val="32"/>
          <w:szCs w:val="32"/>
          <w:lang w:eastAsia="zh-CN"/>
        </w:rPr>
        <w:t>其他政协事务</w:t>
      </w:r>
      <w:r>
        <w:rPr>
          <w:rFonts w:hint="eastAsia" w:ascii="仿宋_GB2312" w:hAnsi="仿宋" w:eastAsia="仿宋_GB2312" w:cs="仿宋"/>
          <w:sz w:val="32"/>
          <w:szCs w:val="32"/>
        </w:rPr>
        <w:t>支出</w:t>
      </w:r>
      <w:r>
        <w:rPr>
          <w:rFonts w:hint="eastAsia" w:ascii="仿宋_GB2312" w:hAnsi="仿宋" w:eastAsia="仿宋_GB2312" w:cs="仿宋"/>
          <w:sz w:val="32"/>
          <w:szCs w:val="32"/>
          <w:lang w:val="en-US" w:eastAsia="zh-CN"/>
        </w:rPr>
        <w:t>5.74</w:t>
      </w:r>
      <w:r>
        <w:rPr>
          <w:rFonts w:hint="eastAsia" w:ascii="仿宋_GB2312" w:hAnsi="仿宋" w:eastAsia="仿宋_GB2312" w:cs="仿宋"/>
          <w:sz w:val="32"/>
          <w:szCs w:val="32"/>
        </w:rPr>
        <w:t>万元</w:t>
      </w:r>
      <w:r>
        <w:rPr>
          <w:rFonts w:hint="eastAsia" w:ascii="仿宋_GB2312" w:hAnsi="仿宋" w:eastAsia="仿宋_GB2312" w:cs="仿宋"/>
          <w:sz w:val="32"/>
          <w:szCs w:val="32"/>
          <w:lang w:eastAsia="zh-CN"/>
        </w:rPr>
        <w:t>；</w:t>
      </w:r>
    </w:p>
    <w:p>
      <w:pPr>
        <w:widowControl w:val="0"/>
        <w:wordWrap/>
        <w:adjustRightInd/>
        <w:snapToGrid/>
        <w:spacing w:line="240" w:lineRule="auto"/>
        <w:ind w:left="638" w:leftChars="304" w:firstLine="0" w:firstLineChars="0"/>
        <w:textAlignment w:val="auto"/>
        <w:rPr>
          <w:rFonts w:hint="eastAsia" w:ascii="仿宋_GB2312" w:hAnsi="仿宋" w:eastAsia="仿宋_GB2312" w:cs="仿宋"/>
          <w:sz w:val="30"/>
          <w:szCs w:val="30"/>
          <w:lang w:eastAsia="zh-CN"/>
        </w:rPr>
      </w:pPr>
      <w:r>
        <w:rPr>
          <w:rFonts w:hint="eastAsia" w:ascii="仿宋_GB2312" w:hAnsi="仿宋" w:eastAsia="仿宋_GB2312" w:cs="仿宋"/>
          <w:sz w:val="32"/>
          <w:szCs w:val="32"/>
        </w:rPr>
        <w:t>208050</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lang w:eastAsia="zh-CN"/>
        </w:rPr>
        <w:t>未归口管理的行政单位离退休</w:t>
      </w:r>
      <w:r>
        <w:rPr>
          <w:rFonts w:hint="eastAsia" w:ascii="仿宋_GB2312" w:hAnsi="仿宋" w:eastAsia="仿宋_GB2312" w:cs="仿宋"/>
          <w:sz w:val="32"/>
          <w:szCs w:val="32"/>
          <w:lang w:val="en-US" w:eastAsia="zh-CN"/>
        </w:rPr>
        <w:t>26.92</w:t>
      </w:r>
      <w:r>
        <w:rPr>
          <w:rFonts w:hint="eastAsia" w:ascii="仿宋_GB2312" w:hAnsi="仿宋" w:eastAsia="仿宋_GB2312" w:cs="仿宋"/>
          <w:sz w:val="32"/>
          <w:szCs w:val="32"/>
        </w:rPr>
        <w:t>万元</w:t>
      </w:r>
      <w:r>
        <w:rPr>
          <w:rFonts w:hint="eastAsia" w:ascii="仿宋_GB2312" w:hAnsi="仿宋" w:eastAsia="仿宋_GB2312" w:cs="仿宋"/>
          <w:sz w:val="32"/>
          <w:szCs w:val="32"/>
          <w:lang w:eastAsia="zh-CN"/>
        </w:rPr>
        <w:t>；</w:t>
      </w:r>
      <w:r>
        <w:rPr>
          <w:rFonts w:hint="eastAsia" w:ascii="仿宋_GB2312" w:hAnsi="仿宋" w:eastAsia="仿宋_GB2312" w:cs="仿宋"/>
          <w:sz w:val="30"/>
          <w:szCs w:val="30"/>
        </w:rPr>
        <w:t>2080505</w:t>
      </w:r>
      <w:r>
        <w:rPr>
          <w:rFonts w:hint="eastAsia" w:ascii="仿宋_GB2312" w:hAnsi="仿宋" w:eastAsia="仿宋_GB2312" w:cs="仿宋"/>
          <w:sz w:val="30"/>
          <w:szCs w:val="30"/>
          <w:lang w:eastAsia="zh-CN"/>
        </w:rPr>
        <w:t>机关事业单位基本养老保险缴费支出</w:t>
      </w:r>
      <w:r>
        <w:rPr>
          <w:rFonts w:hint="eastAsia" w:ascii="仿宋_GB2312" w:hAnsi="仿宋" w:eastAsia="仿宋_GB2312" w:cs="仿宋"/>
          <w:sz w:val="30"/>
          <w:szCs w:val="30"/>
          <w:lang w:val="en-US" w:eastAsia="zh-CN"/>
        </w:rPr>
        <w:t>21.71</w:t>
      </w:r>
      <w:r>
        <w:rPr>
          <w:rFonts w:hint="eastAsia" w:ascii="仿宋_GB2312" w:hAnsi="仿宋" w:eastAsia="仿宋_GB2312" w:cs="仿宋"/>
          <w:sz w:val="30"/>
          <w:szCs w:val="30"/>
        </w:rPr>
        <w:t>万</w:t>
      </w:r>
      <w:r>
        <w:rPr>
          <w:rFonts w:hint="eastAsia" w:ascii="仿宋_GB2312" w:hAnsi="仿宋" w:eastAsia="仿宋_GB2312" w:cs="仿宋"/>
          <w:sz w:val="30"/>
          <w:szCs w:val="30"/>
          <w:lang w:eastAsia="zh-CN"/>
        </w:rPr>
        <w:t>元；</w:t>
      </w:r>
    </w:p>
    <w:p>
      <w:pPr>
        <w:widowControl w:val="0"/>
        <w:wordWrap/>
        <w:adjustRightInd/>
        <w:snapToGrid/>
        <w:spacing w:line="240" w:lineRule="auto"/>
        <w:ind w:left="638" w:leftChars="304" w:firstLine="0" w:firstLineChars="0"/>
        <w:textAlignment w:val="auto"/>
        <w:rPr>
          <w:rFonts w:hint="default" w:ascii="仿宋_GB2312" w:hAnsi="仿宋" w:eastAsia="仿宋_GB2312" w:cs="仿宋"/>
          <w:sz w:val="30"/>
          <w:szCs w:val="30"/>
          <w:lang w:val="en-US" w:eastAsia="zh-CN"/>
        </w:rPr>
      </w:pPr>
      <w:r>
        <w:rPr>
          <w:rFonts w:hint="eastAsia" w:ascii="仿宋_GB2312" w:hAnsi="仿宋" w:eastAsia="仿宋_GB2312" w:cs="仿宋"/>
          <w:sz w:val="30"/>
          <w:szCs w:val="30"/>
          <w:lang w:val="en-US" w:eastAsia="zh-CN"/>
        </w:rPr>
        <w:t>2080506</w:t>
      </w:r>
      <w:r>
        <w:rPr>
          <w:rFonts w:hint="eastAsia" w:ascii="仿宋_GB2312" w:hAnsi="仿宋" w:eastAsia="仿宋_GB2312" w:cs="仿宋"/>
          <w:sz w:val="30"/>
          <w:szCs w:val="30"/>
          <w:lang w:eastAsia="zh-CN"/>
        </w:rPr>
        <w:t>机关事业单位职业年金缴费支出</w:t>
      </w:r>
      <w:r>
        <w:rPr>
          <w:rFonts w:hint="eastAsia" w:ascii="仿宋_GB2312" w:hAnsi="仿宋" w:eastAsia="仿宋_GB2312" w:cs="仿宋"/>
          <w:sz w:val="30"/>
          <w:szCs w:val="30"/>
          <w:lang w:val="en-US" w:eastAsia="zh-CN"/>
        </w:rPr>
        <w:t>5.04万元；</w:t>
      </w:r>
    </w:p>
    <w:p>
      <w:pPr>
        <w:widowControl w:val="0"/>
        <w:wordWrap/>
        <w:adjustRightInd/>
        <w:snapToGrid/>
        <w:spacing w:line="240" w:lineRule="auto"/>
        <w:ind w:left="638" w:leftChars="304" w:firstLine="0" w:firstLineChars="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rPr>
        <w:t>2</w:t>
      </w:r>
      <w:r>
        <w:rPr>
          <w:rFonts w:hint="eastAsia" w:ascii="仿宋_GB2312" w:hAnsi="仿宋" w:eastAsia="仿宋_GB2312" w:cs="仿宋"/>
          <w:sz w:val="32"/>
          <w:szCs w:val="32"/>
          <w:lang w:val="en-US" w:eastAsia="zh-CN"/>
        </w:rPr>
        <w:t>101101</w:t>
      </w:r>
      <w:r>
        <w:rPr>
          <w:rFonts w:hint="eastAsia" w:ascii="仿宋_GB2312" w:hAnsi="仿宋" w:eastAsia="仿宋_GB2312" w:cs="仿宋"/>
          <w:sz w:val="32"/>
          <w:szCs w:val="32"/>
          <w:lang w:eastAsia="zh-CN"/>
        </w:rPr>
        <w:t>行政单位医疗</w:t>
      </w:r>
      <w:r>
        <w:rPr>
          <w:rFonts w:hint="eastAsia" w:ascii="仿宋_GB2312" w:hAnsi="仿宋" w:eastAsia="仿宋_GB2312" w:cs="仿宋"/>
          <w:sz w:val="32"/>
          <w:szCs w:val="32"/>
          <w:lang w:val="en-US" w:eastAsia="zh-CN"/>
        </w:rPr>
        <w:t>12.64</w:t>
      </w:r>
      <w:r>
        <w:rPr>
          <w:rFonts w:hint="eastAsia" w:ascii="仿宋_GB2312" w:hAnsi="仿宋" w:eastAsia="仿宋_GB2312" w:cs="仿宋"/>
          <w:sz w:val="32"/>
          <w:szCs w:val="32"/>
        </w:rPr>
        <w:t>万</w:t>
      </w:r>
      <w:r>
        <w:rPr>
          <w:rFonts w:hint="eastAsia" w:ascii="仿宋_GB2312" w:hAnsi="仿宋" w:eastAsia="仿宋_GB2312" w:cs="仿宋"/>
          <w:sz w:val="32"/>
          <w:szCs w:val="32"/>
          <w:lang w:eastAsia="zh-CN"/>
        </w:rPr>
        <w:t>元；</w:t>
      </w:r>
    </w:p>
    <w:p>
      <w:pPr>
        <w:widowControl w:val="0"/>
        <w:wordWrap/>
        <w:adjustRightInd/>
        <w:snapToGrid/>
        <w:spacing w:line="240" w:lineRule="auto"/>
        <w:ind w:left="638" w:leftChars="304" w:firstLine="0" w:firstLineChars="0"/>
        <w:textAlignment w:val="auto"/>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2101103公务员医疗补助4.05万元；</w:t>
      </w:r>
    </w:p>
    <w:p>
      <w:pPr>
        <w:widowControl w:val="0"/>
        <w:wordWrap/>
        <w:adjustRightInd/>
        <w:snapToGrid/>
        <w:spacing w:line="240" w:lineRule="auto"/>
        <w:ind w:left="638" w:leftChars="304" w:firstLine="0" w:firstLineChars="0"/>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rPr>
        <w:t>2210201</w:t>
      </w:r>
      <w:r>
        <w:rPr>
          <w:rFonts w:hint="eastAsia" w:ascii="仿宋_GB2312" w:hAnsi="仿宋" w:eastAsia="仿宋_GB2312" w:cs="仿宋"/>
          <w:sz w:val="32"/>
          <w:szCs w:val="32"/>
          <w:lang w:eastAsia="zh-CN"/>
        </w:rPr>
        <w:t>住房公积金</w:t>
      </w:r>
      <w:r>
        <w:rPr>
          <w:rFonts w:hint="eastAsia" w:ascii="仿宋_GB2312" w:hAnsi="仿宋" w:eastAsia="仿宋_GB2312" w:cs="仿宋"/>
          <w:sz w:val="32"/>
          <w:szCs w:val="32"/>
          <w:lang w:val="en-US" w:eastAsia="zh-CN"/>
        </w:rPr>
        <w:t>15.53</w:t>
      </w:r>
      <w:r>
        <w:rPr>
          <w:rFonts w:hint="eastAsia" w:ascii="仿宋_GB2312" w:hAnsi="仿宋" w:eastAsia="仿宋_GB2312" w:cs="仿宋"/>
          <w:sz w:val="32"/>
          <w:szCs w:val="32"/>
        </w:rPr>
        <w:t>万元</w:t>
      </w:r>
      <w:r>
        <w:rPr>
          <w:rFonts w:hint="eastAsia" w:ascii="仿宋_GB2312" w:hAnsi="仿宋" w:eastAsia="仿宋_GB2312" w:cs="仿宋"/>
          <w:sz w:val="32"/>
          <w:szCs w:val="32"/>
          <w:lang w:eastAsia="zh-CN"/>
        </w:rPr>
        <w:t>；</w:t>
      </w:r>
    </w:p>
    <w:p>
      <w:pPr>
        <w:widowControl w:val="0"/>
        <w:wordWrap/>
        <w:adjustRightInd/>
        <w:snapToGrid/>
        <w:spacing w:line="240" w:lineRule="auto"/>
        <w:ind w:left="638" w:leftChars="304" w:firstLine="0" w:firstLineChars="0"/>
        <w:textAlignment w:val="auto"/>
        <w:rPr>
          <w:rFonts w:hint="eastAsia" w:ascii="仿宋_GB2312" w:eastAsia="仿宋_GB2312"/>
          <w:sz w:val="32"/>
          <w:szCs w:val="32"/>
          <w:highlight w:val="none"/>
          <w:lang w:eastAsia="zh-CN"/>
        </w:rPr>
      </w:pPr>
      <w:r>
        <w:rPr>
          <w:rFonts w:hint="eastAsia" w:ascii="仿宋_GB2312" w:hAnsi="仿宋" w:eastAsia="仿宋_GB2312" w:cs="仿宋"/>
          <w:sz w:val="32"/>
          <w:szCs w:val="32"/>
        </w:rPr>
        <w:t>2299901</w:t>
      </w:r>
      <w:r>
        <w:rPr>
          <w:rFonts w:hint="eastAsia" w:ascii="仿宋_GB2312" w:hAnsi="仿宋" w:eastAsia="仿宋_GB2312" w:cs="仿宋"/>
          <w:sz w:val="32"/>
          <w:szCs w:val="32"/>
          <w:lang w:eastAsia="zh-CN"/>
        </w:rPr>
        <w:t>其他</w:t>
      </w:r>
      <w:r>
        <w:rPr>
          <w:rFonts w:hint="eastAsia" w:ascii="仿宋_GB2312" w:hAnsi="仿宋" w:eastAsia="仿宋_GB2312" w:cs="仿宋"/>
          <w:sz w:val="32"/>
          <w:szCs w:val="32"/>
        </w:rPr>
        <w:t>支出</w:t>
      </w:r>
      <w:r>
        <w:rPr>
          <w:rFonts w:hint="eastAsia" w:ascii="仿宋_GB2312" w:hAnsi="仿宋" w:eastAsia="仿宋_GB2312" w:cs="仿宋"/>
          <w:sz w:val="32"/>
          <w:szCs w:val="32"/>
          <w:lang w:val="en-US" w:eastAsia="zh-CN"/>
        </w:rPr>
        <w:t>9.95</w:t>
      </w:r>
      <w:r>
        <w:rPr>
          <w:rFonts w:hint="eastAsia" w:ascii="仿宋_GB2312" w:hAnsi="仿宋" w:eastAsia="仿宋_GB2312" w:cs="仿宋"/>
          <w:sz w:val="32"/>
          <w:szCs w:val="32"/>
        </w:rPr>
        <w:t>万元。</w:t>
      </w:r>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widowControl w:val="0"/>
        <w:wordWrap/>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2021年度一般公共预算财政拨款基本支出287.63万元，其中：</w:t>
      </w:r>
    </w:p>
    <w:p>
      <w:pPr>
        <w:widowControl w:val="0"/>
        <w:wordWrap/>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人员经费263.76万元，包括：基本工资77.24万元、津贴补贴69.93万元、奖金29.35万元、机关事业单位基本养老保险缴费21.71万元、职业年金缴费5.04万元、职工基本医疗保险缴</w:t>
      </w:r>
      <w:bookmarkStart w:id="52" w:name="_GoBack"/>
      <w:bookmarkEnd w:id="52"/>
      <w:r>
        <w:rPr>
          <w:rFonts w:hint="eastAsia" w:ascii="仿宋_GB2312" w:eastAsia="仿宋_GB2312"/>
          <w:color w:val="auto"/>
          <w:sz w:val="32"/>
          <w:szCs w:val="32"/>
          <w:highlight w:val="none"/>
          <w:lang w:val="en-US" w:eastAsia="zh-CN"/>
        </w:rPr>
        <w:t>费12.64万元、公务员医疗补助缴费4.05万元、其他社会保障缴费0.20万元、住房公积金15.53万元、退休费4.85万元、生活补助1.15万元、医疗费补助22.07万元。</w:t>
      </w:r>
    </w:p>
    <w:p>
      <w:pPr>
        <w:widowControl w:val="0"/>
        <w:wordWrap/>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公用经费23.87万元，包括：电费0.30万元、办公费5.13万元、邮电费1.64万元、差旅费2.25万元、会议费3.00万元、劳务费1.93万元、工会经费2.57万元、福利费0.75万元、公务用车运行维护费6.30万元。</w:t>
      </w:r>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widowControl w:val="0"/>
        <w:wordWrap/>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2021年度一般公共预算“三公”经费支出决算6.64万元，比上年减少21.54万元，降低76.44%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2020年经机关事务管理局批准，购置了一辆公务用车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公务用车购置及运行维护费支出6.64万元，占100%，比上年减少21.54万元，降低76.44%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2020年经机关事务管理局批准，购置了一辆公务用车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widowControl w:val="0"/>
        <w:wordWrap/>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2021年我单位无此项开支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widowControl w:val="0"/>
        <w:wordWrap/>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公务用车购置及运行维护费6.64万元，其中，公务用车购置费0.00万元，公务用车运行维护费6.64万元。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公务用车加油、维修及保险等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公务用车购置数0辆，公务用车保有量5辆。</w:t>
      </w:r>
    </w:p>
    <w:p>
      <w:pPr>
        <w:widowControl w:val="0"/>
        <w:wordWrap/>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2021年我单位无此项开支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widowControl w:val="0"/>
        <w:wordWrap/>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与年初预算数相比情况：一般公共预算“三公”经费支出年初预算数7.20万元，决算数6.64万元，预决算差异率-7.78%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2021年财政压缩开支，减少三公经费的支出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2021年我单位无此项开支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2021年我单位无此项开支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公务用车运行费预算数7.20万元，决算数6.64万元，预决算差异率-7.78%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2021年财政压缩开支，减少三公经费的支出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2021年我单位无此项开支</w:t>
      </w:r>
      <w:r>
        <w:rPr>
          <w:rFonts w:hint="eastAsia" w:ascii="仿宋_GB2312" w:eastAsia="仿宋_GB2312"/>
          <w:color w:val="auto"/>
          <w:sz w:val="32"/>
          <w:szCs w:val="32"/>
          <w:highlight w:val="none"/>
        </w:rPr>
        <w:t>。</w:t>
      </w:r>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widowControl w:val="0"/>
        <w:wordWrap/>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widowControl w:val="0"/>
        <w:wordWrap/>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widowControl w:val="0"/>
        <w:wordWrap/>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widowControl w:val="0"/>
        <w:wordWrap/>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2021年度新疆塔城地区裕民县政治协商委员会（行政单位和参照公务员法管理事业单位）机关运行经费支出23.87万元，比上年减少17.71万元，降低42.59%</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2021年财政压缩经费，减少开支</w:t>
      </w:r>
      <w:r>
        <w:rPr>
          <w:rFonts w:hint="eastAsia" w:ascii="仿宋_GB2312" w:eastAsia="仿宋_GB2312"/>
          <w:color w:val="auto"/>
          <w:sz w:val="32"/>
          <w:szCs w:val="32"/>
          <w:highlight w:val="none"/>
        </w:rPr>
        <w:t>。</w:t>
      </w:r>
    </w:p>
    <w:p>
      <w:pPr>
        <w:widowControl w:val="0"/>
        <w:wordWrap/>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widowControl w:val="0"/>
        <w:wordWrap/>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2021年度政府采购支出总额10.71万元，其中：政府采购货物支出4.25万元、政府采购工程支出0.00万元、政府采购服务支出6.46万元。</w:t>
      </w:r>
    </w:p>
    <w:p>
      <w:pPr>
        <w:widowControl w:val="0"/>
        <w:wordWrap/>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widowControl w:val="0"/>
        <w:wordWrap/>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widowControl w:val="0"/>
        <w:wordWrap/>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5辆，价值143.16万元，其中：副部（省）级及以上领导用车0辆、主要领导干部用车0辆、机要通信用车0辆、应急保障用车0辆、执法执勤用车0辆、特种专业技术用车0辆、离退休干部用车0辆、其他用车5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单位办公用车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widowControl w:val="0"/>
        <w:wordWrap/>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15.7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一是确保专项资金发挥最大作用；二是最大限度程度地使项目资金发挥效益</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一是绩效管理运行监控有待进一步强化；二是促进绩效目标实现和强化预算执行管理的作用发挥不够</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一是继续按照绩效目标进行实施，严格管理财政支出资金，加强财政项目资金管理，做到专款专用；二是严格按照绩效目标的要求，循序渐进，优质高效的完成各项任务</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widowControl w:val="0"/>
        <w:wordWrap/>
        <w:adjustRightInd/>
        <w:snapToGrid/>
        <w:spacing w:line="240" w:lineRule="auto"/>
        <w:jc w:val="both"/>
        <w:textAlignment w:val="auto"/>
        <w:rPr>
          <w:rFonts w:hint="eastAsia" w:ascii="仿宋_GB2312" w:eastAsia="仿宋_GB2312"/>
          <w:color w:val="auto"/>
          <w:sz w:val="32"/>
          <w:szCs w:val="32"/>
          <w:highlight w:val="none"/>
          <w:lang w:eastAsia="zh-CN"/>
        </w:rPr>
      </w:pPr>
    </w:p>
    <w:p>
      <w:pPr>
        <w:widowControl w:val="0"/>
        <w:wordWrap/>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widowControl w:val="0"/>
        <w:wordWrap/>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widowControl w:val="0"/>
        <w:wordWrap/>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widowControl w:val="0"/>
        <w:wordWrap/>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widowControl w:val="0"/>
        <w:wordWrap/>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widowControl w:val="0"/>
        <w:wordWrap/>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widowControl w:val="0"/>
        <w:wordWrap/>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widowControl w:val="0"/>
        <w:wordWrap/>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widowControl w:val="0"/>
        <w:wordWrap/>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val="0"/>
        <w:wordWrap/>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widowControl w:val="0"/>
        <w:wordWrap/>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widowControl w:val="0"/>
        <w:wordWrap/>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widowControl w:val="0"/>
        <w:wordWrap/>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widowControl w:val="0"/>
        <w:wordWrap/>
        <w:autoSpaceDE w:val="0"/>
        <w:autoSpaceDN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widowControl w:val="0"/>
        <w:wordWrap/>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val="0"/>
        <w:wordWrap/>
        <w:adjustRightInd/>
        <w:snapToGrid/>
        <w:spacing w:line="240" w:lineRule="auto"/>
        <w:jc w:val="both"/>
        <w:textAlignment w:val="auto"/>
        <w:rPr>
          <w:rFonts w:hint="eastAsia" w:ascii="仿宋_GB2312" w:eastAsia="仿宋_GB2312"/>
          <w:sz w:val="32"/>
          <w:szCs w:val="32"/>
          <w:highlight w:val="none"/>
        </w:rPr>
      </w:pPr>
    </w:p>
    <w:p>
      <w:pPr>
        <w:widowControl w:val="0"/>
        <w:wordWrap/>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_GBK">
    <w:altName w:val="微软雅黑"/>
    <w:panose1 w:val="03000509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r>
      <w:rPr>
        <w:rFonts w:ascii="Times New Roman" w:hAnsi="Times New Roman" w:eastAsia="宋体" w:cs="Times New Roman"/>
        <w:kern w:val="2"/>
        <w:sz w:val="18"/>
        <w:szCs w:val="24"/>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WMyZTUwOTVhYWZlY2FmMjU5NzQyMmRmMjQ5Nzk4NzE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07F9C"/>
    <w:rsid w:val="1CB729A5"/>
    <w:rsid w:val="1CC56B97"/>
    <w:rsid w:val="1D34682A"/>
    <w:rsid w:val="1D4A73D5"/>
    <w:rsid w:val="1D9C2D67"/>
    <w:rsid w:val="1DAF458D"/>
    <w:rsid w:val="1DE34574"/>
    <w:rsid w:val="1F354FEC"/>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63213"/>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2D6890"/>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0DC22E1"/>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2508D"/>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1C379F2"/>
    <w:rsid w:val="625B5AF2"/>
    <w:rsid w:val="62A91F52"/>
    <w:rsid w:val="62B07C56"/>
    <w:rsid w:val="6425175A"/>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C33D48"/>
    <w:rsid w:val="6ED34999"/>
    <w:rsid w:val="6F29157B"/>
    <w:rsid w:val="6F531BF4"/>
    <w:rsid w:val="700F486D"/>
    <w:rsid w:val="701074C0"/>
    <w:rsid w:val="707F51EF"/>
    <w:rsid w:val="71833EC6"/>
    <w:rsid w:val="718D4E0D"/>
    <w:rsid w:val="71AE7AA3"/>
    <w:rsid w:val="71CA2249"/>
    <w:rsid w:val="721E4A5D"/>
    <w:rsid w:val="72EE56CB"/>
    <w:rsid w:val="72FE0BBA"/>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9">
    <w:name w:val="Normal Table"/>
    <w:semiHidden/>
    <w:qFormat/>
    <w:uiPriority w:val="0"/>
    <w:tblPr>
      <w:tblStyle w:val="9"/>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lang w:val="en-US" w:eastAsia="zh-CN" w:bidi="ar-SA"/>
    </w:rPr>
  </w:style>
  <w:style w:type="paragraph" w:customStyle="1" w:styleId="11">
    <w:name w:val="WPSOffice手动目录 2"/>
    <w:qFormat/>
    <w:uiPriority w:val="0"/>
    <w:pPr>
      <w:ind w:leftChars="200"/>
    </w:pPr>
    <w:rPr>
      <w:rFonts w:ascii="Times New Roman" w:hAnsi="Times New Roman" w:eastAsia="宋体" w:cs="Times New Roman"/>
      <w:sz w:val="20"/>
      <w:szCs w:val="20"/>
      <w:lang w:val="en-US" w:eastAsia="zh-CN" w:bidi="ar-SA"/>
    </w:rPr>
  </w:style>
  <w:style w:type="paragraph" w:customStyle="1" w:styleId="12">
    <w:name w:val="WPSOffice手动目录 1"/>
    <w:qFormat/>
    <w:uiPriority w:val="0"/>
    <w:pPr>
      <w:ind w:leftChars="0"/>
    </w:pPr>
    <w:rPr>
      <w:rFonts w:ascii="Times New Roman" w:hAnsi="Times New Roman" w:eastAsia="宋体" w:cs="Times New Roman"/>
      <w:sz w:val="20"/>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ScaleCrop>false</ScaleCrop>
  <LinksUpToDate>false</LinksUpToDate>
  <CharactersWithSpaces>0</CharactersWithSpaces>
  <Application>WPS Office_9.1.0.5041_{F1E327BC-269C-435d-A152-05C5408002CA}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Lenovo</cp:lastModifiedBy>
  <dcterms:modified xsi:type="dcterms:W3CDTF">2023-09-19T08:38:03Z</dcterms:modified>
  <dc:title>新疆塔城地区裕民县政治协商委员会2021年度部门决算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2052-9.1.0.5041</vt:lpwstr>
  </property>
  <property fmtid="{D5CDD505-2E9C-101B-9397-08002B2CF9AE}" pid="3" name="ICV">
    <vt:lpwstr>58240A701613457BB24A0FE0F01EE863</vt:lpwstr>
  </property>
</Properties>
</file>