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新疆塔城地区裕民县农村敬老院</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仿宋_GB2312" w:eastAsia="仿宋_GB2312"/>
          <w:color w:val="auto"/>
          <w:sz w:val="32"/>
          <w:szCs w:val="32"/>
          <w:highlight w:val="none"/>
          <w:lang w:val="en-US" w:eastAsia="zh-CN"/>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（一）在县委、政府的领导和上级民政部门的指导下建立院务管理委员会，开展日常的管理服务工作，并接受相关部门和社会各界的监督管理。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（二）贯彻落实党和政府对敬老院有关方针、政策，坚持民主管理、文明办院，管理服务于供(代)养入住的人员。</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（三）制订本院管理服务、农副业生产经营管理、年度发展规划并做好实施工作。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（四）协助县委政府做好五保对象的供养工作，为供养入住的人员安排好吃、穿、住等方面的基本生活。</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(五)为入住人员提供生活起居等方面的照料，组织开展有益于身心健康的文化娱乐、康复保健等活动和力所能及的公益劳动。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(六)建立健全院内的各项管理制度，加强对工作人员学习培训，做好院民资料及档案管理工作；落实院内防火安全责任制。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(七)收养周边城镇、乡镇无人抚养的孤残儿童，为入住的孤儿安排好吃、穿、住、就读等方面的基本生活。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新疆塔城地区裕民县农村敬老院2021年度，实有人数11人，其中：在职人员10人，离休人员0人，退休人员1人。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从部门决算单位构成看，新疆塔城地区裕民县农村敬老院部门决算包括：新疆塔城地区裕民县农村敬老院决算。单位无下属预算单位，下设3个处室，分别是：办公室、财务室、档案室。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2021年度收入301.23万元，与上年相比，减少40.98万元，降低11.98% ，主要原因是：一是本年度上级拨付福利彩票公益金用于福利院运转维修经费减少，二是上级拨付福利彩票公益金用于福利院维修经费当年项目未完工，资金有结余，导致当年拨款减少。</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本年支出301.23资金本年项万元，与上年相比，减少40.98万元，降低11.98%，主要原因是：一是本年度上级拨付福利彩票公益金用于福利院运转维修经费支出减少，二是上级拨付福利彩票公益金用于福利院运转维修经费由于项目未完工，资金结余。所以导致当年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301.23万元，其中：财政拨款收入216.15万元，占71.76%；上级补助收入0.00万元，占0.00%；事业收入0.00万元，占0.00%；经营收入0.00万元，占0.00%；附属单位上缴收入0.00万元，占0.00%；其他收入85.08万元，占28.24%。</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2021年度本年支出301.23万元，其中：基本支出238.92万元，占79.31%；项目支出62.31万元，占20.69%；上缴上级支出0.00万元，占0.00%；经营支出0.00万元，占0.00%；对附属单位补助支出0.00万元，占0.00%。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2021年度财政拨款收入216.15万元，与上年相比，减少37.04万元，降低14.63%。主要原因是：</w:t>
      </w:r>
      <w:r>
        <w:rPr>
          <w:rFonts w:hint="eastAsia" w:ascii="仿宋_GB2312" w:eastAsia="仿宋_GB2312"/>
          <w:b w:val="0"/>
          <w:bCs w:val="0"/>
          <w:color w:val="auto"/>
          <w:sz w:val="32"/>
          <w:szCs w:val="32"/>
          <w:highlight w:val="none"/>
          <w:lang w:val="en-US" w:eastAsia="zh-CN"/>
        </w:rPr>
        <w:t>一是本年度上级拨付福利彩票公益金用于福利院运转维修经费减少，二是上级拨付福利彩票公益金用于福利院维修经费当年项目未完工，资金有结余，导致当年拨款减少</w:t>
      </w:r>
      <w:r>
        <w:rPr>
          <w:rFonts w:hint="eastAsia" w:ascii="仿宋_GB2312" w:eastAsia="仿宋_GB2312"/>
          <w:color w:val="auto"/>
          <w:spacing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财政拨款支出216.15万元，与上年相比，减少37.04万元，降低14.63%，主要原因是：</w:t>
      </w:r>
      <w:r>
        <w:rPr>
          <w:rFonts w:hint="eastAsia" w:ascii="仿宋_GB2312" w:eastAsia="仿宋_GB2312"/>
          <w:b w:val="0"/>
          <w:bCs w:val="0"/>
          <w:color w:val="auto"/>
          <w:sz w:val="32"/>
          <w:szCs w:val="32"/>
          <w:highlight w:val="none"/>
          <w:lang w:val="en-US" w:eastAsia="zh-CN"/>
        </w:rPr>
        <w:t>一是本年度上级拨付福利彩票公益金用于福利院运转维修经费支出减少，二是上级拨付福利彩票公益金用于福利院运转维修经费由于项目未完工，资金结余。所以导致当年支出减少。</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与年初预算数相比情况：财政拨款收入年初预算数153.84万元，决算数216.15万元，预决算差异率40.50%，主要原因是：一是90岁以上自费老年人生活补助及特困供养人员生活费为上级拨款，年初未列入年初预算。二是福利彩票公益金支持社会福利院维修资金年初未列入预算。</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财政拨款支出年初预算数153.84万元，决算数216.15万元，预决算差异率40.50%，主要原因是：主要原因是：一是90岁以上自费老年人生活补助及特困供养人员生活费为上级拨款，年初未列入年初预算。二是福利彩票公益金支持社会福利院维修资金年初未列入预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2021年度一般公共预算财政拨款支出193.15万元。按功能分类科目项级科目公开，其中：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事业单位离退休1.15万元;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机关事业单位基本养老保险缴费支出10.43万元;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2081002 老年福利0.78万元;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2081005 社会福利事业单位128.66万元;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2089999 其他社会保障和就业支出38.53万元;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事业单位医疗6.10万元;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住房公积金7.50万元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2021年度一般公共预算财政拨款基本支出193.15万元，其中：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149.26万元，包括：基本工资32.44万元、津贴补贴38.54万元、奖金13.34万元、机关事业单位基本养老保险缴费10.43万元、职工基本医疗保险缴费6.10万元、其他社会保障缴费0.45万元、住房公积金7.5万元、退休费1.15万元、生活费39.31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公用经费43.89万元，包括：办公费2.05万元、电费0.59万元、邮电费2.06万元、取暖费36.82万元、工会经费1.25万元、福利费0.8万元、公务用车运行维护费0.32万元。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000000" w:themeColor="text1"/>
          <w:spacing w:val="0"/>
          <w:sz w:val="32"/>
          <w:szCs w:val="32"/>
          <w:highlight w:val="none"/>
          <w:lang w:val="en-US" w:eastAsia="zh-CN"/>
          <w14:textFill>
            <w14:solidFill>
              <w14:schemeClr w14:val="tx1"/>
            </w14:solidFill>
          </w14:textFill>
        </w:rPr>
        <w:t>2021年度一般公共预算“三公”经费支出决算0.32万元，比上年减少1.68万元，降低84.00%</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主要原因是：</w:t>
      </w:r>
      <w:r>
        <w:rPr>
          <w:rFonts w:hint="eastAsia" w:ascii="仿宋_GB2312" w:eastAsia="仿宋_GB2312"/>
          <w:color w:val="000000" w:themeColor="text1"/>
          <w:sz w:val="32"/>
          <w:szCs w:val="32"/>
          <w:highlight w:val="none"/>
          <w:lang w:val="en-US" w:eastAsia="zh-CN"/>
          <w14:textFill>
            <w14:solidFill>
              <w14:schemeClr w14:val="tx1"/>
            </w14:solidFill>
          </w14:textFill>
        </w:rPr>
        <w:t>2021年单位公务用车由机关事务管理局调配至县委，只支付了车辆保险，其他费用未支出，。其中，因公出国（境）费支出0.00万元，占0.00%，比上年增加0.00万元，增长0.00%</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公务用车购置及运行维护费支出0.32万元，占100%，比上年减少1.68万元，降低84.00%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000000" w:themeColor="text1"/>
          <w:sz w:val="32"/>
          <w:szCs w:val="32"/>
          <w:highlight w:val="none"/>
          <w:lang w:val="en-US" w:eastAsia="zh-CN"/>
          <w14:textFill>
            <w14:solidFill>
              <w14:schemeClr w14:val="tx1"/>
            </w14:solidFill>
          </w14:textFill>
        </w:rPr>
        <w:t>2021年单位公务用车由机关事务管理局将车辆调配至县委，只支付了车辆保险，其他费用未支出，年末财政收回。</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公务接待费支出0.00万元，占0%，比上年增加0.00万元，增减0.00%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本年没有安排公务接待费用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本年没有因公出国（境）费支出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公务用车购置及运行维护费0.32万元，其中，公务用车购置费0.00万元，公务用车运行维护费0.32万元。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车辆保险。公务用车购置数0辆，公务用车保有量1辆。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本年没有安排公务接待费支出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与年初预算数相比情况：一般公共预算“三公”经费支出年初预算数2.00万元，决算数0.32万元，预决算差异率-84.00%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000000" w:themeColor="text1"/>
          <w:sz w:val="32"/>
          <w:szCs w:val="32"/>
          <w:highlight w:val="none"/>
          <w:lang w:val="en-US" w:eastAsia="zh-CN"/>
          <w14:textFill>
            <w14:solidFill>
              <w14:schemeClr w14:val="tx1"/>
            </w14:solidFill>
          </w14:textFill>
        </w:rPr>
        <w:t>2021年单位公务用车由机关事务管理局将车辆调配至县委，只支付了车辆保险，其他费用未支出，年末财政收回。</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本年无安排公务用车购置费用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公务用车运行费预算数2.00万元，决算数0.32万元，预决算差异率-84.00%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000000" w:themeColor="text1"/>
          <w:sz w:val="32"/>
          <w:szCs w:val="32"/>
          <w:highlight w:val="none"/>
          <w:lang w:val="en-US" w:eastAsia="zh-CN"/>
          <w14:textFill>
            <w14:solidFill>
              <w14:schemeClr w14:val="tx1"/>
            </w14:solidFill>
          </w14:textFill>
        </w:rPr>
        <w:t>2021年单位公务用车由机关事务管理局将车辆调配至县委，只支付了车辆保险，其他费用未支出，年末财政收回</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本年没有安排公务接待费支</w:t>
      </w:r>
      <w:bookmarkStart w:id="52" w:name="_GoBack"/>
      <w:bookmarkEnd w:id="52"/>
      <w:r>
        <w:rPr>
          <w:rFonts w:hint="eastAsia" w:ascii="仿宋_GB2312" w:eastAsia="仿宋_GB2312"/>
          <w:color w:val="auto"/>
          <w:sz w:val="32"/>
          <w:szCs w:val="32"/>
          <w:highlight w:val="none"/>
          <w:lang w:val="en-US" w:eastAsia="zh-CN"/>
        </w:rPr>
        <w:t>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23.00万元，与上年相比，增加1.00万元，增长4.55%，主要原因是：上级拨入的运转经费增加，孤儿助学金及维修项目资金增加。政府性基金预算支出23.00万元，与上年相比，增加1.00万元，增长4.55%，主要原因是：上级拨入孤儿助学金项目资金增加。</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政府性基金预算财政拨款支出23.00万元。按功能分类科目项级科目公开，其中：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2296002 用于社会福利的彩票公益金支出23.00万元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2021年度新疆塔城地区裕民县社会福利院（事业单位）公用经费43.89万元，比上年减少24.31万元，降低35.65%</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本年度因压缩开支，园区维修费，工会经费、福利费、其他交通费、办公费支出均比上年减少，因此经费支出减少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2021年度政府采购支出总额2.09万元，其中：政府采购货物支出1.77万元、政府采购工程支出0.00万元、政府采购服务支出0.32万元。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授予中小企业合同金额2.09万元，占政府采购支出总额的100%，其中：授予小微企业合同金额2.09万元，占政府采购支出总额的100.00%。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811.37（平方米），价值105.50万元。车辆1辆，价值13.35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公务用车1辆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绩效目标管理和评价工作实现全覆盖，项目资金都已纳入绩效管理和评价内容，为合理利用资金提供了信息保障；二是加大资金管理力度，做到转款专用；三是绩效跟踪监控管理工作进一步加强，对项目中可能存在的问题，提前做出有针对性的解决措施和方案</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我们对于绩效监控学习深度广度都不够，希望多加强这方面的培训，二是深入调查研究不够，三是缺乏把事情做得更好，创造性的开展工作，四是加强财务管理，严格财务审核，在费用报账支付时，按照预算规定的费用项目和用途进行资金使用审核，杜绝超支现象的发生</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单位将严把资金使用关。资金使用都需经过民政、财政、相关部门进行联合验收关过，方可进行报账，对资金使用质量进行有效的监管。我单位今后加大宣传力度，开展学习和培训活动，为预算绩效管理相关人员提升业务素质和思想认识。将绩效评价和监控融入到绩效管理的整个过程，提高绩效监控的效率和效果</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yNjlhZWYyYjUxZmE2MTllOWI4YmRkZjRhMGM0MmIifQ=="/>
  </w:docVars>
  <w:rsids>
    <w:rsidRoot w:val="00000000"/>
    <w:rsid w:val="006F49CA"/>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C30832"/>
    <w:rsid w:val="1DE34574"/>
    <w:rsid w:val="1F77716A"/>
    <w:rsid w:val="1F825A11"/>
    <w:rsid w:val="206034DD"/>
    <w:rsid w:val="20DF6845"/>
    <w:rsid w:val="222E2B1F"/>
    <w:rsid w:val="22956218"/>
    <w:rsid w:val="233B4784"/>
    <w:rsid w:val="233E5923"/>
    <w:rsid w:val="236A6149"/>
    <w:rsid w:val="23B146B9"/>
    <w:rsid w:val="240038BA"/>
    <w:rsid w:val="240A65B7"/>
    <w:rsid w:val="262961C2"/>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6A628F"/>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7367A7"/>
    <w:rsid w:val="4A9D77CC"/>
    <w:rsid w:val="4AF5079B"/>
    <w:rsid w:val="4B345CA5"/>
    <w:rsid w:val="4B701753"/>
    <w:rsid w:val="4BEB2AE8"/>
    <w:rsid w:val="4C181618"/>
    <w:rsid w:val="4C6D3066"/>
    <w:rsid w:val="4CB3745D"/>
    <w:rsid w:val="4D391693"/>
    <w:rsid w:val="4DA93660"/>
    <w:rsid w:val="4DD406E5"/>
    <w:rsid w:val="4DF31F55"/>
    <w:rsid w:val="4E4138B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1F7C0E"/>
    <w:rsid w:val="58344842"/>
    <w:rsid w:val="588E1D40"/>
    <w:rsid w:val="58E4063C"/>
    <w:rsid w:val="58F356A0"/>
    <w:rsid w:val="58FB4926"/>
    <w:rsid w:val="5988343C"/>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6161D"/>
    <w:rsid w:val="6B4F02DD"/>
    <w:rsid w:val="6B68175F"/>
    <w:rsid w:val="6B8E27EF"/>
    <w:rsid w:val="6C360AF8"/>
    <w:rsid w:val="6C6B3009"/>
    <w:rsid w:val="6C6B3214"/>
    <w:rsid w:val="6C747BB9"/>
    <w:rsid w:val="6D3D14C4"/>
    <w:rsid w:val="6DEC2100"/>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0D32E8"/>
    <w:rsid w:val="76DD091D"/>
    <w:rsid w:val="77466E92"/>
    <w:rsid w:val="774B26E2"/>
    <w:rsid w:val="77720CA8"/>
    <w:rsid w:val="77DF008B"/>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2</TotalTime>
  <ScaleCrop>false</ScaleCrop>
  <LinksUpToDate>false</LinksUpToDate>
  <CharactersWithSpaces>2763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2023-09-22T05:29:57Z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58240A701613457BB24A0FE0F01EE863</vt:lpwstr>
  </property>
</Properties>
</file>