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新疆塔城地区裕民县技工学校</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负责全县大中专毕业生、下岗失业人员复转退伍军人、农村富余劳动力、城镇新成长劳动力等技能培训和转移就业培训的组织实施工作。（2）负责开展全县农牧民科学技术培训工作。（3）承办县委、县政府及主管部门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新疆塔城地区裕民县技工学校2021年度，实有人数9人，其中：在职人员9人，离休人员0人，退休人员0人。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技工学校部门决算包括：新疆塔城地区裕民县技工学校决算。单位无下属预算单位，下设6个处室，分别是：办公室、财务室、教务教学室、培训室、招生就业室（人力资源服务站）、总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2021年度本年收入19.39万元，与上年相比，增加19.39万元，增长100.00%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本年新成立单位，无上年数据</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本年支出19.39万元，与上年相比，增加19.39万元，增长100.00%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本年新成立单位，无上年数据</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19.39万元，其中：财政拨款收入19.39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2021年度本年支出19.39万元，其中：基本支出19.39万元，占100.00%；项目支出0.00万元，占0.00%；上缴上级支出0.00万元，占0.00%；经营支出0.00万元，占0.00%；对附属单位补助支出0.00万元，占0.00%。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2021年度财政拨款收入19.39万元，与上年相比，增加19.39万元，增长100.00%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本年新成立单位，无上年数据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财政拨款支出19.39万元，与上年相比，增加19.39万元，增长100.00%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本年新成立单位，无上年数据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与年初预算数相比情况：财政拨款收入年初预算数0.00万元，决算数19.39万元，预决算差异率100.00%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裕民县技工学校于2021年7月成立，8月独立核算，年初无预算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财政拨款支出年初预算数0.00万元，决算数19.39万元，预决算差异率100.00%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裕民县技工学校于2021年7月成立，8月独立核算，年初无预算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2021年度一般公共预算财政拨款支出19.39万元。按功能分类科目项级科目公开，其中：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2050303 技校教育16.57万元;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事业单位医疗0.72万元;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住房公积金0.88万元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2021年度一般公共预算财政拨款基本支出19.39万元，其中：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人员经费13.05万元，包括：基本工资5.21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、津贴补贴4.82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、奖金0.15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、机关事业单位基本养老保险缴费1.22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、职工基本医疗保险缴费0.72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、其他社会保障缴费0.05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、住房公积金0.88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公用经费6.34万元，包括：办公费0.53</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、电费0.75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、邮电费0.44</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、取暖费2.50</w:t>
      </w:r>
      <w:bookmarkStart w:id="52" w:name="_GoBack"/>
      <w:bookmarkEnd w:id="52"/>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、劳务费2.12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2021年度新疆塔城地区裕民县技工学校（事业单位）公用经费6.34万元，比上年增加6.34万元，增长100.00%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本年新成立单位，无上年数据</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2021年度新成立单位无车辆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编制预算时要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开展绩效评价。对预算执行情况以及政策实施效果开展绩效自评，评价结果报送本级财政部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对预算绩效管理工作认识不到位，理解有偏颇,专业人员能力有待提高。实行预算绩效管理以来，重视程度越来越高，工作力度也越来越大，单位领导和财务人员认为实施绩效管理增加工作量，所以能应付过关就行。而且预算绩效管理工作时间紧、任务重专业较强，要求具备一定专业素养和实际经验的人员，现在我单位从事绩效管理工作的人员就会计一人，日常业务量较大、工作繁忙，工作难度较大，学习机会还较少只能请教县财政局股室领导及其他单位同事。二是对预算绩效管理工作执行力不够，“刚性”作用不强。认为预算申报的项目能落实到位和预算安排的资金能用出去就不会有大的问题，重预算轻管理，工作人员存在不知道预算目标是什么，实际目标的过程中应该做什么、不该做什么，存在粗放型预算管理，从而达不到预期效果。三是预算绩效管理机制不完善，制度体系不健全。绩效指标和标准体系建设不完善，未能细化、量化绩效指标。一个健全完善的预算绩效管理制度框架体系，可以推动单位财政绩效管理高水平，高质量发展，避免单位在实施绩效管理工作时出现“知识盲区”</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学习，提高思想认识。组织单位财务人员认真学习《预算法》等相关法规、制度，提高单位领导对全面预算管理的重视程度，增强财务人员的预算意识。二是严格管理，控制“三公”经费和公用经费支出。认真贯彻落实中央八项规定，切实加强“三公”经费和会议费、培训费管理，严格按照规定开支有关经费，确保单位“三公”经费只减不增。三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wMmY2ZjlhYTI3ZDJlOWJjOWEzOTA4MjQ4ZTUzNW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8D64745"/>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304D29"/>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7D3543"/>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635344"/>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3144C8"/>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7</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2023-09-19T08:21:07Z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