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38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2"/>
        <w:gridCol w:w="564"/>
        <w:gridCol w:w="696"/>
        <w:gridCol w:w="538"/>
        <w:gridCol w:w="1755"/>
        <w:gridCol w:w="652"/>
        <w:gridCol w:w="660"/>
        <w:gridCol w:w="712"/>
        <w:gridCol w:w="318"/>
        <w:gridCol w:w="178"/>
        <w:gridCol w:w="374"/>
        <w:gridCol w:w="1047"/>
        <w:gridCol w:w="222"/>
        <w:gridCol w:w="9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9386"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6"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8070"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bookmarkStart w:id="0" w:name="_GoBack"/>
            <w:r>
              <w:rPr>
                <w:rFonts w:hint="eastAsia" w:ascii="宋体" w:hAnsi="宋体" w:eastAsia="宋体" w:cs="宋体"/>
                <w:i w:val="0"/>
                <w:iCs w:val="0"/>
                <w:color w:val="000000"/>
                <w:kern w:val="0"/>
                <w:sz w:val="24"/>
                <w:szCs w:val="24"/>
                <w:u w:val="none"/>
                <w:lang w:val="en-US" w:eastAsia="zh-CN" w:bidi="ar"/>
              </w:rPr>
              <w:t>巴什拜种羊基地建设中心2021年自治区畜牧生产发展资金（项目部分）（牧区地方品种肉羊选育推广-巴什拜羊繁育中心）</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4301"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2739"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裕民县巴什拜种羊基地建设中心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29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131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1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2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229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70.00</w:t>
            </w:r>
          </w:p>
        </w:tc>
        <w:tc>
          <w:tcPr>
            <w:tcW w:w="131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70.00</w:t>
            </w:r>
          </w:p>
        </w:tc>
        <w:tc>
          <w:tcPr>
            <w:tcW w:w="1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53.90</w:t>
            </w:r>
          </w:p>
        </w:tc>
        <w:tc>
          <w:tcPr>
            <w:tcW w:w="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2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77.00%</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229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131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1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53.895</w:t>
            </w:r>
          </w:p>
        </w:tc>
        <w:tc>
          <w:tcPr>
            <w:tcW w:w="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229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31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229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31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486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3769"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86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2020年购买巴什拜羊后备种羊500只，2020羊饲料100吨。</w:t>
            </w:r>
          </w:p>
        </w:tc>
        <w:tc>
          <w:tcPr>
            <w:tcW w:w="3769"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2021年购买巴什拜羊后备种羊188只，2021羊饲料100吨。按照80%的育成比例计算，可培育出优质巴什拜羊周岁种公羊400只，每只巴什拜羊周岁种公羊售价3000元，项目实施后可实现产值达120万元。</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成立专门的领导小组对项目实施过程进行全程监督，保证项目的顺利实施，保证项目达到预期的效益。项目资金执行过程中，严格遵守相关财务制度，项目资金专款专用，单独建账，不挤占，不挪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234"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2407"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66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71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49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42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114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407"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6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2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56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购置优质巴什拜母羊数量</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≥188只</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188只</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玉米秸秆捆数</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≥20000捆</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20000捆</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混合饲料数量</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≥150万吨</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150万吨</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西红柿皮渣数量</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≥820万吨</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820万吨</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发票没有及时开具，下年在使用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巴什拜母羊验收合格率</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资金使用合规率</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资金支付完成时间</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2021年12月25日前</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2021年12月25日前</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项目总成本</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≤70万元</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53.895万元</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购买药品及建厂房未及时完成，需要下年继续完成。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帮助农牧民增加收益，改善生活条件</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显著改善</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农牧民满意度</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6329"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97.70分</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2989" w:type="dxa"/>
            <w:gridSpan w:val="3"/>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冯训勇</w:t>
            </w:r>
          </w:p>
        </w:tc>
        <w:tc>
          <w:tcPr>
            <w:tcW w:w="2342" w:type="dxa"/>
            <w:gridSpan w:val="4"/>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739" w:type="dxa"/>
            <w:gridSpan w:val="5"/>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2989" w:type="dxa"/>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冯训勇</w:t>
            </w:r>
          </w:p>
        </w:tc>
        <w:tc>
          <w:tcPr>
            <w:tcW w:w="2342" w:type="dxa"/>
            <w:gridSpan w:val="4"/>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739" w:type="dxa"/>
            <w:gridSpan w:val="5"/>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zZjRkMmM0YjdjOWExNjhiMjAzZTg3ODEzOTE2ZDQifQ=="/>
  </w:docVars>
  <w:rsids>
    <w:rsidRoot w:val="780F53D8"/>
    <w:rsid w:val="29200286"/>
    <w:rsid w:val="780F53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99"/>
    <w:pPr>
      <w:spacing w:after="120"/>
    </w:pPr>
    <w:rPr>
      <w:rFonts w:ascii="Calibri" w:hAnsi="Calib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793</Words>
  <Characters>888</Characters>
  <Lines>0</Lines>
  <Paragraphs>0</Paragraphs>
  <TotalTime>0</TotalTime>
  <ScaleCrop>false</ScaleCrop>
  <LinksUpToDate>false</LinksUpToDate>
  <CharactersWithSpaces>899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2023-09-19T09:08:00Z</dcterms:created>
  <dc:creator>丫丫</dc:creator>
  <cp:lastModifiedBy>丫丫</cp:lastModifiedBy>
  <dcterms:modified xsi:type="dcterms:W3CDTF">2023-09-19T09:09:07Z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1C68534173FC41D49363AB7BD7C58276_13</vt:lpwstr>
  </property>
</Properties>
</file>