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新疆塔城地区中共裕民县委组织部</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县委组织部，在县委领导下，负责贯彻新时代党的组织路线和以习近平同志为核心的党中央治疆方略、聚焦服务社会稳定和长治久安总目标，落实党中央、自治区党委、地委关于组织体系、领导班子建设、领导干部队伍、老干部队伍、公务员队伍、人才队伍建设的方针政策和决策部署以及县委工作要求，主要职责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（一）党的组织制度建设。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（二）基层组织和党员队伍建设。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（三）领导班子和领导干部队伍特别是优秀年轻干部队伍建设。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（四）老干部工作。将老干部管理中心、地区关心下一代工作委员会办公室承担的行政职能划入组织部。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（五）公务员队伍建设。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（六）人才工作。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（七）干部队伍建设宏观指导和干部教育培训、管理监督工作。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（八）党的建设和组织工作研究。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（九）干部和党员、党组织的统计工作。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（十）负责县援疆干部工作办公室日常工作。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（十一）统一管理中共裕民县委员会机构编制委员会办公室。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（十二）完成县委交办的其他任务。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新疆塔城地区中共裕民县委组织部2021年度，实有人数36人，其中：在职人员26人，离休人员4人，退休人员6人。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中共裕民县委组织部部门决算包括：新疆塔城地区中共裕民县委组织部决算。单位无下属预算单位，下设6个处室，分别是：裕民县党员教育中心、裕民县老干部活动中心、裕民县关心下一代工作委员会办公室、裕民县人才服务中心、裕民县援疆工作服务中心、裕民县干部信息服务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2021年度本年收入947.32万元，与上年相比，增加8.74万元，增长0.93%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单位2021年新招录公务员1人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本年支出968.04万元，与上年相比，减少14.96万元，降低1.52%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其他收入辽宁援建资金安排较上年有所减少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947.32万元，其中：财政拨款收入868.96万元，占91.73%；上级补助收入0.00万元，占0.00%；事业收入0.00万元，占0.00%；经营收入0.00万元，占0.00%；附属单位上缴收入0.00万元，占0.00%；其他收入78.36万元，占8.27%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2021年度本年支出968.04万元，其中：基本支出537.75万元，占55.55%；项目支出430.29万元，占44.45%；上缴上级支出0.00万元，占0.00%；经营支出0.00万元，占0.00%；对附属单位补助支出0.00万元，占0.00%。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2021年度财政拨款收入868.96万元，与上年相比，增加39.00万元，增长4.70%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单位新招录公务员1人，三老人员生活补助标准提高等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财政拨款支出868.96万元，与上年相比，增加38.70万元，增长4.66%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单位新招录公务员1人，三老人员生活补助标准提高等</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与年初预算数相比情况：财政拨款收入年初预算数648.07万元，决算数868.96万元，预决算差异率34.08%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在职人员人数增加5人，人员增资以及新增2021年驻村工作队经费、工作人员补贴，新增县乡村三级换届工作经费，新增赴中国井冈山干部学院学习培训费</w:t>
      </w:r>
      <w:r>
        <w:rPr>
          <w:rFonts w:hint="eastAsia" w:ascii="仿宋_GB2312" w:eastAsia="仿宋_GB2312"/>
          <w:color w:val="auto"/>
          <w:sz w:val="32"/>
          <w:szCs w:val="32"/>
          <w:highlight w:val="none"/>
        </w:rPr>
        <w:t>。</w:t>
      </w:r>
      <w:r>
        <w:rPr>
          <w:rFonts w:hint="eastAsia" w:ascii="仿宋_GB2312" w:eastAsia="仿宋_GB2312"/>
          <w:sz w:val="32"/>
          <w:szCs w:val="32"/>
          <w:highlight w:val="none"/>
        </w:rPr>
        <w:t>财政拨款支出年初预算数</w:t>
      </w:r>
      <w:r>
        <w:rPr>
          <w:rFonts w:hint="eastAsia" w:ascii="仿宋_GB2312" w:eastAsia="仿宋_GB2312"/>
          <w:color w:val="auto"/>
          <w:sz w:val="32"/>
          <w:szCs w:val="32"/>
          <w:highlight w:val="none"/>
          <w:lang w:val="en-US" w:eastAsia="zh-CN"/>
        </w:rPr>
        <w:t>648.07</w:t>
      </w:r>
      <w:r>
        <w:rPr>
          <w:rFonts w:hint="eastAsia" w:ascii="仿宋_GB2312" w:eastAsia="仿宋_GB2312"/>
          <w:sz w:val="32"/>
          <w:szCs w:val="32"/>
          <w:highlight w:val="none"/>
        </w:rPr>
        <w:t>万元，决算数</w:t>
      </w:r>
      <w:r>
        <w:rPr>
          <w:rFonts w:hint="eastAsia" w:ascii="仿宋_GB2312" w:eastAsia="仿宋_GB2312"/>
          <w:color w:val="auto"/>
          <w:sz w:val="32"/>
          <w:szCs w:val="32"/>
          <w:highlight w:val="none"/>
          <w:lang w:val="en-US" w:eastAsia="zh-CN"/>
        </w:rPr>
        <w:t>868.96</w:t>
      </w:r>
      <w:r>
        <w:rPr>
          <w:rFonts w:hint="eastAsia" w:ascii="仿宋_GB2312" w:eastAsia="仿宋_GB2312"/>
          <w:sz w:val="32"/>
          <w:szCs w:val="32"/>
          <w:highlight w:val="none"/>
        </w:rPr>
        <w:t>万元，预决算差异率</w:t>
      </w:r>
      <w:r>
        <w:rPr>
          <w:rFonts w:hint="eastAsia" w:ascii="仿宋_GB2312" w:eastAsia="仿宋_GB2312"/>
          <w:color w:val="auto"/>
          <w:sz w:val="32"/>
          <w:szCs w:val="32"/>
          <w:highlight w:val="none"/>
          <w:lang w:val="en-US" w:eastAsia="zh-CN"/>
        </w:rPr>
        <w:t>34.08%</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val="en-US" w:eastAsia="zh-CN"/>
        </w:rPr>
        <w:t>在职人员人数增加5人，人员增资以及新增2021年驻村工作队经费、工作人员补贴，新增县乡村三级换届工作经费，新增赴中国井冈山干部学院学习培训费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2021年度一般公共预算财政拨款支出868.96万元。按功能分类科目项级科目公开，其中：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2013201 行政运行349.95万元;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2013299 其他组织事务支出326.28万元;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行政单位离退休92.92万元;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机关事业单位基本养老保险缴费支出27.22万元;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行政单位医疗15.93万元;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公务员医疗补助4.71万元;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2130152 对高校毕业生到基层任职补助16.80万元;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住房公积金19.61万元;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其他支出15.55万元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2021年度一般公共预算财政拨款基本支出510.33万元，其中：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454.12万元，包括：基本工资84.8万元、津贴补贴104.39万元、奖金83.89万元、机关事业单位基本养老保险缴费27.22万元、职工基本医疗保险缴费15.93万元、公务员医疗补助缴费4.71万元、其他社会保障缴费0.32万元、住房公积金19.61万元、离休费59.21万元、退休费1.16万元、抚恤金27.44万元、生活补助20.34万元、医疗费补助5.1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56.21万元，包括：电费0.2万元、办公费17.47万元、邮电费4.93万元、取暖费0.19万元、差旅费1.26万元、维修（护）费0.42万元、培训费3.54万元、工会经费2.84万元、福利费2.41万元、公务用车运行维护费6万元、其他交通费用5.38万元、其他商品和服务支出10.66万元、办公设备购置0.4万元、信息网络及软件购置更新0.51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2021年度一般公共预算“三公”经费支出决算6.00万元，比上年减少1.87万元，降低23.76%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2021年老干部局金杯面包车已申请报废，“三公”经费减少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因公出国（境）费</w:t>
      </w:r>
      <w:bookmarkStart w:id="52" w:name="_GoBack"/>
      <w:bookmarkEnd w:id="52"/>
      <w:r>
        <w:rPr>
          <w:rFonts w:hint="eastAsia" w:ascii="仿宋_GB2312" w:eastAsia="仿宋_GB2312"/>
          <w:color w:val="auto"/>
          <w:sz w:val="32"/>
          <w:szCs w:val="32"/>
          <w:highlight w:val="none"/>
          <w:lang w:val="en-US" w:eastAsia="zh-CN"/>
        </w:rPr>
        <w:t>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公务用车购置及运行维护费支出6.00万元，占100%，比上年减少1.87万元，降低23.76%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2021年老干局金杯面包车已申请报废，公务用车购置及运行维护费减少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公务接待费未安排预算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开支内容没有此项费用支出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公务用车购置及运行维护费6.00万元，其中，公务用车购置费0.00万元，公务用车运行维护费6.00万元。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车辆加油、车辆维修及购买车辆保险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公务用车购置数0辆，公务用车保有量4辆。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开支内容没有此项费用支出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与年初预算数相比情况：一般公共预算“三公”经费支出年初预算数6.00万元，决算数6.00万元，预决算差异率0.00%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“三公”经费已按年初预算数全部支付完毕，不存在差异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因公出国（境）费未安排预算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公务用车购置费未安排预算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公务用车运行费预算数6.00万元，决算数6.00万元，预决算差异率0.00%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公务用车运行费已按年初预算数全部支付完毕，不存在差异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公务接待费未安排预算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2021年度新疆塔城地区中共裕民县委组织部（行政单位和参照公务员法管理事业单位）机关运行经费支出56.21万元，比上年增加4.05万元，增长7.76%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临时成立了裕民县换届工作领导小组办公室并单独拨付了工作经费，机关运行经费增加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2021年度政府采购支出总额12.27万元，其中：政府采购货物支出0.40万元、政府采购工程支出0.00万元、政府采购服务支出11.87万元。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授予中小企业合同金额12.27万元，占政府采购支出总额的100%，其中：授予小微企业合同金额12.27万元，占政府采购支出总额的100.00%。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4辆，价值82.53万元，其中：副部（省）级及以上领导用车0辆、主要领导干部用车0辆、机要通信用车0辆、应急保障用车0辆、执法执勤用车0辆、特种专业技术用车0辆、离退休干部用车0辆、其他用车4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单位下乡调研、指导工作用车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430.29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根据项目进度合理使用资金，对项目的实施过程、资金的执行进度进行监控跟踪，确保项目达到预期效果；二是严格执行项目资金支付审批，事前绩效目标申报，事中预算执行跟踪，加强预算执行过程监控，分析预算执行与绩效目标出现偏差的原因，确保项目可以更好的实施</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一是政府采购实施计划编制准确性不够，实施计划与政府采购预算有一定差异；二是绩效评价结果有待提高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一是提高政府采购实施计划编制准确性，合理有效编制采购预算；二是加强绩效评价相关政策和知识的学习，提高工作人员能力素质，确保绩效评价结果准确有效</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lYzI2YTYyNzg3OWI5NjU5NWY0YTFiMjUxNjJmMD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8C91762"/>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17776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57353BD"/>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806AA2"/>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4C0A95"/>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DED7E84"/>
    <w:rsid w:val="5E256662"/>
    <w:rsid w:val="5E8D0FF0"/>
    <w:rsid w:val="5E90207D"/>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13285D"/>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265092"/>
    <w:rsid w:val="6ED34999"/>
    <w:rsid w:val="6F29157B"/>
    <w:rsid w:val="6F531BF4"/>
    <w:rsid w:val="6F6B23D3"/>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215F5"/>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4993</Words>
  <Characters>5600</Characters>
  <Lines>0</Lines>
  <Paragraphs>0</Paragraphs>
  <TotalTime>1</TotalTime>
  <ScaleCrop>false</ScaleCrop>
  <LinksUpToDate>false</LinksUpToDate>
  <CharactersWithSpaces>5703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裴国强</cp:lastModifiedBy>
  <cp:lastPrinted>2023-09-19T09:32:00Z</cp:lastPrinted>
  <dcterms:modified xsi:type="dcterms:W3CDTF">2023-11-17T10:26:26Z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58240A701613457BB24A0FE0F01EE863</vt:lpwstr>
  </property>
</Properties>
</file>