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新疆塔城地区裕民县司法局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司法局贯彻落实党中央关于司法行政工作的方针政策和决策部署，在履行职责过程中坚持和加强党对司法行政工作的集中统一领导。主要职责包括：</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（一）贯彻执行中央、自治区、地区有关司法行政工作的方针、政策、法律、法规和规章，制定全县司法行政工作的规范性文件，拟定全县司法行政工作的中长期发展规划、年度工作计划并组织实施。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（二）监督、指导和管理律师、公证和基层法律服务等法律服务工作。指导、监督法律服务行业的社会团体开展工作。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（三）整合法律援助、公证等法律服务资源，完善人民陪审员选任和人民监督员选任管理工作，为群众提供公共法律服务。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（四）指导和管理全县基层司法所建设和人民调解工作，推动推动人民群众参与、促进、监督法治建设。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（五）拟订全县法治宣传教育规划并组织实施，指导各乡镇和各行业法治宣传、依法治理工作。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（六）指导和管理全县社区矫正工作。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（七）监督、指导和管理全县刑释解教人员安置帮教工作。负责全县“危安类”服刑人员刑满释放时的衔接、押解工作。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（八）监督、指导和管理全县司法行政系统的计划财务及服装和车辆等警用物资装备。</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（九）负责全县司法行政队伍建设和思想作风、工作作风建设，负责全县司法行政干警培训、警务管理和警务督察工作。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（十）承办县委、县人民政府及上级主管部门交办的其他事项。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新疆塔城地区裕民县司法局2021年度，实有人数34人，其中：在职人员22人，离休人员0人，退休人员12人。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从部门决算单位构成看，新疆塔城地区裕民县司法局部门决算包括：新疆塔城地区裕民县司法局决算。单位无下属预算单位，下设3个处室，分别是：社区矫正室、法制宣传室、律师公证管理室。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2021年度本年收入555.24万元，与上年相比，增加14.65万元，增长2.71%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人员工资增资，社保、养老保险等相应增加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本年支出555.24万元，与上年相比，增加14.65万元，增长2.71%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人员增资，社保、养老保险等相应增加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555.24万元，其中：财政拨款收入555.24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2021年度本年支出555.24万元，其中：基本支出445.06万元，占80.16%；项目支出110.18万元，占19.84%；上缴上级支出0.00万元，占0.00%；经营支出0.00万元，占0.00%；对附属单位补助支出0.00万元，占0.00%。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2021年度财政拨款收入555.24万元，与上年相比，增加14.65万元，增长2.71%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w:t>
      </w:r>
      <w:r>
        <w:rPr>
          <w:rFonts w:hint="eastAsia" w:ascii="仿宋_GB2312" w:eastAsia="仿宋_GB2312"/>
          <w:b w:val="0"/>
          <w:bCs w:val="0"/>
          <w:color w:val="auto"/>
          <w:sz w:val="32"/>
          <w:szCs w:val="32"/>
          <w:highlight w:val="none"/>
          <w:lang w:val="en-US" w:eastAsia="zh-CN"/>
        </w:rPr>
        <w:t>增资</w:t>
      </w:r>
      <w:r>
        <w:rPr>
          <w:rFonts w:hint="eastAsia" w:ascii="仿宋_GB2312" w:eastAsia="仿宋_GB2312"/>
          <w:color w:val="auto"/>
          <w:sz w:val="32"/>
          <w:szCs w:val="32"/>
          <w:highlight w:val="none"/>
          <w:lang w:val="en-US" w:eastAsia="zh-CN"/>
        </w:rPr>
        <w:t>，社保、养老保险等相应增加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财政拨款支出555.24万元，与上年相比，增加14.65万元，增长2.71%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w:t>
      </w:r>
      <w:r>
        <w:rPr>
          <w:rFonts w:hint="eastAsia" w:ascii="仿宋_GB2312" w:eastAsia="仿宋_GB2312"/>
          <w:b w:val="0"/>
          <w:bCs w:val="0"/>
          <w:color w:val="auto"/>
          <w:sz w:val="32"/>
          <w:szCs w:val="32"/>
          <w:highlight w:val="none"/>
          <w:lang w:val="en-US" w:eastAsia="zh-CN"/>
        </w:rPr>
        <w:t>增资</w:t>
      </w:r>
      <w:r>
        <w:rPr>
          <w:rFonts w:hint="eastAsia" w:ascii="仿宋_GB2312" w:eastAsia="仿宋_GB2312"/>
          <w:color w:val="auto"/>
          <w:sz w:val="32"/>
          <w:szCs w:val="32"/>
          <w:highlight w:val="none"/>
          <w:lang w:val="en-US" w:eastAsia="zh-CN"/>
        </w:rPr>
        <w:t>，社保、养老保险等相应增加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与年初预算数相比情况：财政拨款收入年初预算数441.99万元，决算数555.24万元，预决算差异率25.62%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w:t>
      </w:r>
      <w:r>
        <w:rPr>
          <w:rFonts w:hint="eastAsia" w:ascii="仿宋_GB2312" w:eastAsia="仿宋_GB2312"/>
          <w:b w:val="0"/>
          <w:bCs w:val="0"/>
          <w:color w:val="auto"/>
          <w:sz w:val="32"/>
          <w:szCs w:val="32"/>
          <w:highlight w:val="none"/>
          <w:lang w:val="en-US" w:eastAsia="zh-CN"/>
        </w:rPr>
        <w:t>增资</w:t>
      </w:r>
      <w:r>
        <w:rPr>
          <w:rFonts w:hint="eastAsia" w:ascii="仿宋_GB2312" w:eastAsia="仿宋_GB2312"/>
          <w:color w:val="auto"/>
          <w:sz w:val="32"/>
          <w:szCs w:val="32"/>
          <w:highlight w:val="none"/>
          <w:lang w:val="en-US" w:eastAsia="zh-CN"/>
        </w:rPr>
        <w:t>，社保、养老保险等相应增加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财政拨款支出年初预算数441.99万元，决算数555.24万元，预决算差异率25.62%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w:t>
      </w:r>
      <w:r>
        <w:rPr>
          <w:rFonts w:hint="eastAsia" w:ascii="仿宋_GB2312" w:eastAsia="仿宋_GB2312"/>
          <w:b w:val="0"/>
          <w:bCs w:val="0"/>
          <w:color w:val="auto"/>
          <w:sz w:val="32"/>
          <w:szCs w:val="32"/>
          <w:highlight w:val="none"/>
          <w:lang w:val="en-US" w:eastAsia="zh-CN"/>
        </w:rPr>
        <w:t>增资</w:t>
      </w:r>
      <w:r>
        <w:rPr>
          <w:rFonts w:hint="eastAsia" w:ascii="仿宋_GB2312" w:eastAsia="仿宋_GB2312"/>
          <w:color w:val="auto"/>
          <w:sz w:val="32"/>
          <w:szCs w:val="32"/>
          <w:highlight w:val="none"/>
          <w:lang w:val="en-US" w:eastAsia="zh-CN"/>
        </w:rPr>
        <w:t>，社保、养老保险等相应增加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2021年度一般公共预算财政拨款支出555.24万元。按功能分类科目项级科目公开，其中：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2040601 行政运行341.81万元;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2040605 普法宣传2.34万元;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2040610 社区矫正3.00万元;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2040699 其他司法支出108.00万元;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行政单位离退休12.96万元;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机关事业单位基本养老保险缴费支出33.43万元;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行政单位医疗19.60万元;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公务员医疗补助7.79万元;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住房公积金24.12万元;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其他支出2.18万元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2021年度一般公共预算财政拨款基本支出445.06万元，其中：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414.40万元，包括：基本工资98.30万元、津贴补贴130.81万元、奖金35.74万元、机关事业单位基本养老保险缴费33.43万元、职工基本医疗保险缴费19.60万元、公务员医疗补助缴费7.79万元、其他社会保障缴费0.04万元、住房公积金24.12万元、其他工资福利支出51.60万元、退休费2.24万元、医疗费补助10.72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30.66万元，包括：电费0.96万元、办公费9.13万元、印刷费0.09万元、邮电费1.67万元、取暖费3.92万元、差旅费0.40万元、培训费3.00万元、劳务费4.32万元、工会经费4.02万元、福利费2.41万元、公务用车运行维护费0.74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2021年度一般公共预算“三公”经费支出决算11.81万元，比上年增加7.81万元，增长195.25%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本单位的公务用车车辆老化维修费加大</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公务用车购置及运行维护费支出11.81万元，占100%，比上年增加7.81万元，增长195.25%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本单位的公务用车车辆老化维修费加大</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公务用车购置及运行维护费11.81万元，其中，公务用车购置费0.00万元，公务用车运行维护费11.81万元。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本单位的公务用车辆的维修费支出和车辆加油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公务用车购置数0辆，公务用车保有量8辆。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与年初预算数相比情况：一般公共预算“三公”经费支出年初预算数11.81万元，决算数11.81万元，预决算差异率0.00%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本年支出无差异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w:t>
      </w:r>
      <w:r>
        <w:rPr>
          <w:rFonts w:hint="eastAsia" w:ascii="仿宋_GB2312" w:hAnsi="宋体" w:eastAsia="仿宋_GB2312" w:cs="宋体"/>
          <w:color w:val="auto"/>
          <w:kern w:val="0"/>
          <w:sz w:val="32"/>
          <w:szCs w:val="32"/>
          <w:highlight w:val="none"/>
          <w:lang w:val="en-US" w:eastAsia="zh-CN"/>
        </w:rPr>
        <w:t>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公务用车运行费预算数11.81万元，决算数11.81万元，预决算差异率0.00%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本年支出无差异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本单位无公务接待费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2021年度新疆塔城地区裕民县司法局（行政单位和参照公务员法管理事业单位）机关运行经费支出30.66万元，比上年减少9.77万元，降低24.17%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2021年节约开支，压缩经费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2021年度政府采购支出总额30.31万元，其中：政府采购货物支出30.04万元、政府采购工程支出0.00万元、政府采购服务支出0.26万元。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授予中小企业合同金额30.31万元，占政府采购支出总额的100%，其中：授予小微企业合同金额30.31万元，占政府采购支出总额的100.00%。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8辆，价值76.26万元，其中：副部（省）级及以上领导用车0辆、主要领导干部用车0辆、机要通信用车0辆、应急保障用车0辆、执法执勤用车1辆、特种专业技术用车0辆、离退休干部用车0辆、其他用车7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1辆为日常用车</w:t>
      </w:r>
      <w:bookmarkStart w:id="52" w:name="_GoBack"/>
      <w:bookmarkEnd w:id="52"/>
      <w:r>
        <w:rPr>
          <w:rFonts w:hint="eastAsia" w:ascii="仿宋_GB2312" w:eastAsia="仿宋_GB2312"/>
          <w:color w:val="auto"/>
          <w:sz w:val="32"/>
          <w:szCs w:val="32"/>
          <w:highlight w:val="none"/>
          <w:lang w:val="en-US" w:eastAsia="zh-CN"/>
        </w:rPr>
        <w:t>用于下乡督导，必接必送等；6个司法所各1辆日常用车，均用于走访两类人员等。单位价值50万元以上通用设备1台（套）、单位价值100万元以上专用设备0台（套）。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110.18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司法局办案业务经费、业务装备经费的绩效目标是按规定用途使用专项经费，保障了司法行政各项业务工作所需办公及专业设备需求。严格落实国家机关“谁执法谁普法”工作责任制和《党政主要负责人履行推进法治建设第一责任人职责规定》。加强全民普法力度，加强社会主义法治文化建设。广泛运用新媒体开展法治宣传教育，培育壮大普法志愿者队伍，积极探索普法社会化运作。裕民县司法局法律援助经费在厉行节约的基础上，满足援助要求，保障单位财务工作顺利开展，对现有的财务业务流程进行优化，满足日常财务管理和会计核算需求,对全县特定弱势群体和特殊案件当事人提供法律援助，解答法律咨询，宣传法律法规和政策；二是我工作队紧紧围绕自治区党委提出的“一个目标、两项任务、五件好事”积极开展工作，落实自治区、地区“访汇聚”工作要点，持续深入做好群众工作，推动村队持续稳定和发展。本年预算绩效目标投入50000元，继续从三方面开展基层工作，一是访贫问苦、为群众送信息、送服务、送温暖方面，二是对困难群众房屋修缮、村道在厉行节约的基础上，为民办实事。严格落实、油料费、水费、电费、燃料费、网络通信费，三是满足提升工作人员的素质与村“两位”班子成员积极组织开展各类活动，促进农村建设</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驻村工作队经费成本2.18万元，资金未支付完毕，原因：本年财政资金紧缺资金未支付完毕</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等待资金下达</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ODE2MDkzY2MzYWM2ODEwOTBlODA3ODUyNDhhMTgifQ=="/>
  </w:docVars>
  <w:rsids>
    <w:rsidRoot w:val="00000000"/>
    <w:rsid w:val="00E74E84"/>
    <w:rsid w:val="0131169A"/>
    <w:rsid w:val="01734C27"/>
    <w:rsid w:val="01DD6073"/>
    <w:rsid w:val="02014C29"/>
    <w:rsid w:val="02890C73"/>
    <w:rsid w:val="0379687D"/>
    <w:rsid w:val="04044ED1"/>
    <w:rsid w:val="041C5E18"/>
    <w:rsid w:val="04AA63C1"/>
    <w:rsid w:val="04EE377F"/>
    <w:rsid w:val="051C631E"/>
    <w:rsid w:val="0562142B"/>
    <w:rsid w:val="06792773"/>
    <w:rsid w:val="074F280E"/>
    <w:rsid w:val="075B1482"/>
    <w:rsid w:val="075F768F"/>
    <w:rsid w:val="07BA7C7F"/>
    <w:rsid w:val="07C3443C"/>
    <w:rsid w:val="08476613"/>
    <w:rsid w:val="084876D1"/>
    <w:rsid w:val="085D0EF8"/>
    <w:rsid w:val="09026D66"/>
    <w:rsid w:val="090B11F4"/>
    <w:rsid w:val="09287B77"/>
    <w:rsid w:val="0A2E4EB6"/>
    <w:rsid w:val="0A611FB0"/>
    <w:rsid w:val="0A6D05E4"/>
    <w:rsid w:val="0AC520F0"/>
    <w:rsid w:val="0B21162A"/>
    <w:rsid w:val="0B557DD5"/>
    <w:rsid w:val="0BED1442"/>
    <w:rsid w:val="0C57284E"/>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8509C7"/>
    <w:rsid w:val="11CA45A9"/>
    <w:rsid w:val="11E8712A"/>
    <w:rsid w:val="11FE3AAA"/>
    <w:rsid w:val="122451E5"/>
    <w:rsid w:val="126B62A8"/>
    <w:rsid w:val="12922EC2"/>
    <w:rsid w:val="12951F13"/>
    <w:rsid w:val="12B1037D"/>
    <w:rsid w:val="12CC4CD9"/>
    <w:rsid w:val="13326CE6"/>
    <w:rsid w:val="14284AED"/>
    <w:rsid w:val="14D10250"/>
    <w:rsid w:val="15CF1AC0"/>
    <w:rsid w:val="167E6BD5"/>
    <w:rsid w:val="17083B88"/>
    <w:rsid w:val="1742163F"/>
    <w:rsid w:val="176E53C3"/>
    <w:rsid w:val="1805797E"/>
    <w:rsid w:val="18124080"/>
    <w:rsid w:val="182E453B"/>
    <w:rsid w:val="189A656F"/>
    <w:rsid w:val="198202DA"/>
    <w:rsid w:val="19AF7A44"/>
    <w:rsid w:val="1A6109EF"/>
    <w:rsid w:val="1AC60058"/>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50F1AC0"/>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B313F7"/>
    <w:rsid w:val="2BFE2EF0"/>
    <w:rsid w:val="2C1E18A5"/>
    <w:rsid w:val="2C604703"/>
    <w:rsid w:val="2D1136DF"/>
    <w:rsid w:val="2D2B5CBF"/>
    <w:rsid w:val="2D8C755C"/>
    <w:rsid w:val="2DA02D04"/>
    <w:rsid w:val="2DFD193C"/>
    <w:rsid w:val="2E9F6859"/>
    <w:rsid w:val="2EC544A9"/>
    <w:rsid w:val="2F0C26B1"/>
    <w:rsid w:val="2F116303"/>
    <w:rsid w:val="2FC614E6"/>
    <w:rsid w:val="2FE25048"/>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824195"/>
    <w:rsid w:val="37D36EBD"/>
    <w:rsid w:val="399731E4"/>
    <w:rsid w:val="3ADE39A4"/>
    <w:rsid w:val="3AFB1A4C"/>
    <w:rsid w:val="3B610B0E"/>
    <w:rsid w:val="3BED4AD9"/>
    <w:rsid w:val="3BF672B3"/>
    <w:rsid w:val="3BF67B6E"/>
    <w:rsid w:val="3C132F7E"/>
    <w:rsid w:val="3C530331"/>
    <w:rsid w:val="3CBB22B3"/>
    <w:rsid w:val="3CC7093B"/>
    <w:rsid w:val="3CC80DC0"/>
    <w:rsid w:val="3D1309DF"/>
    <w:rsid w:val="3D217D96"/>
    <w:rsid w:val="3D5275AC"/>
    <w:rsid w:val="3DED65A8"/>
    <w:rsid w:val="3DFE4E4B"/>
    <w:rsid w:val="3E160417"/>
    <w:rsid w:val="3E4F50AC"/>
    <w:rsid w:val="3F20694C"/>
    <w:rsid w:val="40161B73"/>
    <w:rsid w:val="402D5430"/>
    <w:rsid w:val="4079165E"/>
    <w:rsid w:val="41AD1AA2"/>
    <w:rsid w:val="41B20E4F"/>
    <w:rsid w:val="41D31F00"/>
    <w:rsid w:val="421527D4"/>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6104E7"/>
    <w:rsid w:val="568D63A8"/>
    <w:rsid w:val="569D71D3"/>
    <w:rsid w:val="570E289D"/>
    <w:rsid w:val="57211AEC"/>
    <w:rsid w:val="57AF4592"/>
    <w:rsid w:val="5813797A"/>
    <w:rsid w:val="58344842"/>
    <w:rsid w:val="588E1D40"/>
    <w:rsid w:val="58E4063C"/>
    <w:rsid w:val="58ED20DA"/>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2185B"/>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1678CE"/>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095345"/>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5085</Words>
  <Characters>5621</Characters>
  <Lines>0</Lines>
  <Paragraphs>0</Paragraphs>
  <TotalTime>24</TotalTime>
  <ScaleCrop>false</ScaleCrop>
  <LinksUpToDate>false</LinksUpToDate>
  <CharactersWithSpaces>5724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BG</cp:lastModifiedBy>
  <dcterms:modified xsi:type="dcterms:W3CDTF">2023-09-19T05:36:07Z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