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新疆塔城地区裕民县草原监理所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1、负责草地资源合理利用提供监理保障。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2、负责草原承包合同签订。</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3、负责对违反草原法律、法规的行为进行前期调查。</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4、负责草原所有权维护和草原使用权核定。</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5、开展草地资源保护。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6、实施草原防火、草原火情监控和草原火灾处理。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7、承办主管部门交办的其他事项。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新疆塔城地区裕民县草原监理所2021年度，实有人数12人，其中：在职人员9人，离休人员0人，退休人员3人。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从部门决算单位构成看，新疆塔城地区裕民县草原监理所部门决算包括：新疆塔城地区裕民县草原监理所决算。单位无下属预算单位，下设2个处室，分别是：办公室、财务室。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2021年度本年收入187.49万元，与上年相比，增加42.28万元，增长29.12%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追加2020年度绩效奖金、考核优秀奖金及</w:t>
      </w:r>
      <w:r>
        <w:rPr>
          <w:rFonts w:hint="eastAsia" w:ascii="仿宋_GB2312" w:eastAsia="仿宋_GB2312"/>
          <w:b w:val="0"/>
          <w:bCs w:val="0"/>
          <w:color w:val="auto"/>
          <w:sz w:val="32"/>
          <w:szCs w:val="32"/>
          <w:highlight w:val="none"/>
          <w:lang w:val="en-US" w:eastAsia="zh-CN"/>
        </w:rPr>
        <w:t>草原安置补助费</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本年支出187.49万元，与上年相比，增加42.28万元，增长29.12%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追加2020年度绩效奖金、考核优秀奖金及</w:t>
      </w:r>
      <w:r>
        <w:rPr>
          <w:rFonts w:hint="eastAsia" w:ascii="仿宋_GB2312" w:eastAsia="仿宋_GB2312"/>
          <w:b w:val="0"/>
          <w:bCs w:val="0"/>
          <w:color w:val="auto"/>
          <w:sz w:val="32"/>
          <w:szCs w:val="32"/>
          <w:highlight w:val="none"/>
          <w:lang w:val="en-US" w:eastAsia="zh-CN"/>
        </w:rPr>
        <w:t>草原安置补助费</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187.49万元，其中：财政拨款收入187.49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2021年度本年支出187.49万元，其中：基本支出187.49万元，占100.00%；项目支出0.00万元，占0.00%；上缴上级支出0.00万元，占0.00%；经营支出0.00万元，占0.00%；对附属单位补助支出0.00万元，占0.00%。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2021年度财政拨款收入187.49万元，与上年相比，增加42.28万元，增长29.12%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追加2020年度绩效奖金、考核优秀奖金及</w:t>
      </w:r>
      <w:r>
        <w:rPr>
          <w:rFonts w:hint="eastAsia" w:ascii="仿宋_GB2312" w:eastAsia="仿宋_GB2312"/>
          <w:b w:val="0"/>
          <w:bCs w:val="0"/>
          <w:color w:val="auto"/>
          <w:sz w:val="32"/>
          <w:szCs w:val="32"/>
          <w:highlight w:val="none"/>
          <w:lang w:val="en-US" w:eastAsia="zh-CN"/>
        </w:rPr>
        <w:t>草原安置补助费</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财政拨款支出187.49万元，与上年相比，增加42.28万元，增长29.12%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追加2020年度绩效奖金、考核优秀奖金及</w:t>
      </w:r>
      <w:r>
        <w:rPr>
          <w:rFonts w:hint="eastAsia" w:ascii="仿宋_GB2312" w:eastAsia="仿宋_GB2312"/>
          <w:b w:val="0"/>
          <w:bCs w:val="0"/>
          <w:color w:val="auto"/>
          <w:sz w:val="32"/>
          <w:szCs w:val="32"/>
          <w:highlight w:val="none"/>
          <w:lang w:val="en-US" w:eastAsia="zh-CN"/>
        </w:rPr>
        <w:t>草原安置补助费</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z w:val="32"/>
          <w:szCs w:val="32"/>
          <w:highlight w:val="none"/>
          <w:lang w:val="en-US" w:eastAsia="zh-CN"/>
        </w:rPr>
        <w:t>与年初预算数相比情况：财政拨款收入年初预算数139.57万元，决算数187.49万元，预决算差异率34.33%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追加2020年度绩效奖金、考核优秀奖金及</w:t>
      </w:r>
      <w:r>
        <w:rPr>
          <w:rFonts w:hint="eastAsia" w:ascii="仿宋_GB2312" w:eastAsia="仿宋_GB2312"/>
          <w:b w:val="0"/>
          <w:bCs w:val="0"/>
          <w:color w:val="auto"/>
          <w:sz w:val="32"/>
          <w:szCs w:val="32"/>
          <w:highlight w:val="none"/>
          <w:lang w:val="en-US" w:eastAsia="zh-CN"/>
        </w:rPr>
        <w:t>草原安置补助费</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财政拨款支出年初预算数139.57万元，决算数187.49万元，预决算差异率34.33%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本年</w:t>
      </w:r>
      <w:r>
        <w:rPr>
          <w:rFonts w:hint="eastAsia" w:ascii="仿宋_GB2312" w:eastAsia="仿宋_GB2312"/>
          <w:color w:val="auto"/>
          <w:sz w:val="32"/>
          <w:szCs w:val="32"/>
          <w:highlight w:val="none"/>
          <w:lang w:val="en-US" w:eastAsia="zh-CN"/>
        </w:rPr>
        <w:t>追加2020年度绩效奖金、考核优秀奖金及</w:t>
      </w:r>
      <w:r>
        <w:rPr>
          <w:rFonts w:hint="eastAsia" w:ascii="仿宋_GB2312" w:eastAsia="仿宋_GB2312"/>
          <w:b w:val="0"/>
          <w:bCs w:val="0"/>
          <w:color w:val="auto"/>
          <w:sz w:val="32"/>
          <w:szCs w:val="32"/>
          <w:highlight w:val="none"/>
          <w:lang w:val="en-US" w:eastAsia="zh-CN"/>
        </w:rPr>
        <w:t>草原安置补助费</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2021年度一般公共预算财政拨款支出187.49万元。按功能分类科目项级科目公开，其中：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行政单位离退休2.39万元;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机关事业单位基本养老保险缴费支出11.32万元;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行政单位医疗6.59万元;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公务员医疗补助2.41万元;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2130101 行政运行100.08万元;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2130199 其他农业农村支出56.60万元;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住房公积金8.11万元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2021年度一般公共预算财政拨款基本支出187.49万元，其中：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181.75万元，包括：基本工资41.47万元、津贴补贴38.36万元、绩效工资14.40万元、机关事业单位基本养老保险缴费11.32万元、职工基本医疗保险缴费6.59万元、公务员医疗补助缴费2.41万元、其他社会保障缴费0.11万元、住房公积金8.11万元、退休费0.65万元、生活补助56.60万元、医疗费补助1.74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公用经费5.74万元，包括：办公费1.79万元、手续费0.01万元、邮电费0.41万元、差旅费0.36万元、工会经费1.50万元、福利费0.92万元、公务用车运行维护费0.77万元。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2021年度一般公共预算“三公”经费支出决算0.77万元，比上年减少1.13万元，降低59.47%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为贯彻落实过“紧日子”思想，本年大幅度压缩公务用车运行维护费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公务用车购置及运行维护费支出0.77万元，占100%，比上年减少1.13万元，降低59.47%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为贯彻落实过“紧日子”思想，本年大幅度压缩公务用车运行维护费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公务用车购置及运行维护费0.77万元，其中，公务用车购置费0.00万元，公务用车运行维护费0.77万元。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：车辆燃油费、</w:t>
      </w:r>
      <w:r>
        <w:rPr>
          <w:rFonts w:hint="eastAsia" w:ascii="仿宋_GB2312" w:eastAsia="仿宋_GB2312"/>
          <w:color w:val="auto"/>
          <w:sz w:val="32"/>
          <w:szCs w:val="32"/>
          <w:highlight w:val="none"/>
          <w:lang w:val="en-US" w:eastAsia="zh-CN"/>
        </w:rPr>
        <w:t>车辆修理费及车辆保险费等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开支内容包括单位无此项支出。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与年初预算数相比情况：一般公共预算“三公”经费支出年初预算数2.00万元，决算数0.77万元，预决算差异率-61.50%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压缩三公经费，形成逐年递减</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公务用车运行费预算数2.00万元，决算数0.77万元，预决算差异率-61.50%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为贯彻落实过“紧日子”思想，本年大幅度压缩公务用车运行维护费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2021年度新疆塔城地区裕民县草原监理所（行政单位和参照公务员法管理事业单位）机关运行经费支出5.74万元，比上年减少3.59万元，降低38.48%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压缩公用经费，形成逐年递减</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2021年度政府采购支出总额1.20万元，其中：政府采购货物支出0.48万元、政府采购工程支出0.00万元、政府采购服务支出0.72万元。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16.00（平方米），价值2.09万元。车辆2辆，价值29.28万元，其中：副部（省）级及以上领导用车0辆、主要领导干部用车0辆、机要通信用车0辆、应急保障用车0辆、执法执勤用车0辆、特种专业技术用车0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0"/>
          <w:szCs w:val="30"/>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我单位无项目支出绩效自评表。发现的问题及原因：</w:t>
      </w:r>
      <w:r>
        <w:rPr>
          <w:rFonts w:hint="eastAsia" w:ascii="仿宋_GB2312" w:eastAsia="仿宋_GB2312"/>
          <w:color w:val="auto"/>
          <w:sz w:val="32"/>
          <w:szCs w:val="32"/>
          <w:highlight w:val="none"/>
          <w:lang w:val="en-US" w:eastAsia="zh-CN"/>
        </w:rPr>
        <w:t>我单位无项目支出绩效自评表。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我单位无项目支出绩效自评表。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ZTA0YjFmNjE5Y2JmY2ZiNGYwOTBmM2ZmOGQwOGY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807CDE"/>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9C55023"/>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C758A8"/>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2F11E3"/>
    <w:rsid w:val="307471D6"/>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D57F49"/>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CC51FA2"/>
    <w:rsid w:val="4D391693"/>
    <w:rsid w:val="4D833F63"/>
    <w:rsid w:val="4DA93660"/>
    <w:rsid w:val="4DD406E5"/>
    <w:rsid w:val="4DF31F55"/>
    <w:rsid w:val="4E535897"/>
    <w:rsid w:val="4F195BC9"/>
    <w:rsid w:val="4F714843"/>
    <w:rsid w:val="4FCE528B"/>
    <w:rsid w:val="5004002B"/>
    <w:rsid w:val="500A528D"/>
    <w:rsid w:val="50B24DB0"/>
    <w:rsid w:val="50D87915"/>
    <w:rsid w:val="50DB5F45"/>
    <w:rsid w:val="510B4945"/>
    <w:rsid w:val="511D7E14"/>
    <w:rsid w:val="51554269"/>
    <w:rsid w:val="516A2E8A"/>
    <w:rsid w:val="517134A1"/>
    <w:rsid w:val="518D4D1E"/>
    <w:rsid w:val="51BB37A4"/>
    <w:rsid w:val="52163B23"/>
    <w:rsid w:val="523D322D"/>
    <w:rsid w:val="52C01CAC"/>
    <w:rsid w:val="530335BC"/>
    <w:rsid w:val="535F2703"/>
    <w:rsid w:val="53902A75"/>
    <w:rsid w:val="5414787C"/>
    <w:rsid w:val="547B5E0B"/>
    <w:rsid w:val="54833AC5"/>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3170F37"/>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276319"/>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5DF646C"/>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13</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2023-09-19T10:44:02Z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