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ab/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44"/>
          <w:szCs w:val="44"/>
          <w:lang w:val="en-US" w:eastAsia="zh-CN" w:bidi="ar"/>
        </w:rPr>
        <w:t>国家税务总局裕民县税务局2021年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44"/>
          <w:szCs w:val="44"/>
          <w:lang w:val="en-US" w:eastAsia="zh-CN" w:bidi="ar"/>
        </w:rPr>
        <w:t>政府信息公开工作年度报告</w:t>
      </w:r>
    </w:p>
    <w:p>
      <w:pPr>
        <w:keepNext w:val="0"/>
        <w:keepLines w:val="0"/>
        <w:pageBreakBefore w:val="0"/>
        <w:widowControl/>
        <w:suppressLineNumbers w:val="0"/>
        <w:pBdr>
          <w:top w:val="single" w:color="EEEEEE" w:sz="6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42"/>
          <w:szCs w:val="42"/>
        </w:rPr>
        <w:pict>
          <v:rect id="_x0000_i1025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32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根据《中华人民共和国政府信息公开条例》（以下简称《条例》）第五十条规定，制作本报告。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一、总体情况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2021年以来，裕民县税务局认真贯彻落实《条例》、《中华人民共和国保守国家秘密法》及新疆税务局、塔城地区税务局政府信息公开工作有关规定要求，将政府信息公开工作贯穿于税收工作全过程。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32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（一）主动公开情况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32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裕民县税务局认真贯彻落实《条例》，坚持公开为常态、不公开为例外，遵守公正、公平、合法、便民的原则，依法依规加大主动公开力度，自觉接受社会监督。保障纳税人、缴费人知情权，着力打造服务型机关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32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（二）依申请公开情况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32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2021年度未收到政府信息公开申请。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32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（三）政府信息管理情况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32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局党委始终把政府信息公开工作作为“一把手工程”摆上重要日程，与税收工作同安排、同部署、同考核。全局形成一把手领导主抓、分管领导具体负责、相关股室协调联动的工作机制，主要领导听取政府信息公开工作汇报，研究政府信息公开的重大问题，部署推进工作，坚持构建规范科学的政府信息公开工作体系，日常工作中，办公室负责政府信息公开工作的常态化管理和检查，其他股室负责有关政府信息公开的具体工作任务。2021年，裕民县税务局未发生行政复议和行政诉讼事项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br w:type="textWrapping"/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     （四）政府信息公开平台建设情况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32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根据《条例》中对政府信息公开的相关规定，按照要求和流程，在办税服务厅主动公开税务部门履职相关的法律、法规、规章、规范性文件，并及时做好更新维护。通过政府网站、户外大屏、微信群、短信平台等对减税降费相关优惠政策及时公开。通过开展税法宣传进机关、进企业、进社区、进军营、进景区等途径宣传税收政策及社会公众关心的涉税信息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32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（五）监督保障情况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32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加强主动公开信息的审查及管理，严格遵循的“谁审查、谁负责，谁发布、谁负责，先审查、后发布”和“涉密信息不上网，上网信息不涉密”的原则，将政府信息公开工作纳入本局绩效考核，由政府信息公开领导小组负责对全局政府信息公开工作的组织领导、指导实施、监督检查、考核奖惩，对拒不实行政府信息公开或应公开的不公开等行为，视情节轻重追究主要负责人及直接责任人的责任。同时公开举报电话，主动接受纳税人监督，积极回应社会关切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二、主动公开政府信息情况</w:t>
      </w:r>
    </w:p>
    <w:tbl>
      <w:tblPr>
        <w:tblStyle w:val="3"/>
        <w:tblW w:w="97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35"/>
        <w:gridCol w:w="2435"/>
        <w:gridCol w:w="2435"/>
        <w:gridCol w:w="24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第二十条第（一）项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信息内容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本年制发件数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本年废止件数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现行有效件数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规章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行政规范性文件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第二十条第（五）项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本年处理决定数量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行政许可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第二十条第（六）项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本年处理决定数量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行政处罚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行政强制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第二十条第（八）项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本年收费金额（单位：万元）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行政事业性收费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/>
        <w:jc w:val="both"/>
        <w:textAlignment w:val="auto"/>
        <w:rPr>
          <w:sz w:val="32"/>
          <w:szCs w:val="3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三、收到和处理政府信息公开申请情况</w:t>
      </w:r>
    </w:p>
    <w:tbl>
      <w:tblPr>
        <w:tblStyle w:val="3"/>
        <w:tblW w:w="97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6"/>
        <w:gridCol w:w="943"/>
        <w:gridCol w:w="3217"/>
        <w:gridCol w:w="691"/>
        <w:gridCol w:w="688"/>
        <w:gridCol w:w="688"/>
        <w:gridCol w:w="688"/>
        <w:gridCol w:w="688"/>
        <w:gridCol w:w="688"/>
        <w:gridCol w:w="6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26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rFonts w:ascii="楷体" w:hAnsi="楷体" w:eastAsia="楷体" w:cs="楷体"/>
                <w:spacing w:val="0"/>
                <w:sz w:val="24"/>
                <w:szCs w:val="24"/>
              </w:rPr>
              <w:t>（本列数据的勾稽关系为：第一项加第二项之和，等于第三项加第四项之和）</w:t>
            </w:r>
          </w:p>
        </w:tc>
        <w:tc>
          <w:tcPr>
            <w:tcW w:w="4822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申请人情况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2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自然人</w:t>
            </w:r>
          </w:p>
        </w:tc>
        <w:tc>
          <w:tcPr>
            <w:tcW w:w="344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法人或其他组织</w:t>
            </w:r>
          </w:p>
        </w:tc>
        <w:tc>
          <w:tcPr>
            <w:tcW w:w="691" w:type="dxa"/>
            <w:vMerge w:val="restart"/>
            <w:tcBorders>
              <w:top w:val="single" w:color="auto" w:sz="8" w:space="0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总计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2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91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商业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企业</w:t>
            </w:r>
          </w:p>
        </w:tc>
        <w:tc>
          <w:tcPr>
            <w:tcW w:w="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科研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机构</w:t>
            </w:r>
          </w:p>
        </w:tc>
        <w:tc>
          <w:tcPr>
            <w:tcW w:w="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社会公益组织</w:t>
            </w:r>
          </w:p>
        </w:tc>
        <w:tc>
          <w:tcPr>
            <w:tcW w:w="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法律服务机构</w:t>
            </w:r>
          </w:p>
        </w:tc>
        <w:tc>
          <w:tcPr>
            <w:tcW w:w="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其他</w:t>
            </w:r>
          </w:p>
        </w:tc>
        <w:tc>
          <w:tcPr>
            <w:tcW w:w="691" w:type="dxa"/>
            <w:vMerge w:val="continue"/>
            <w:tcBorders>
              <w:top w:val="single" w:color="auto" w:sz="8" w:space="0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2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一、本年新收政府信息公开申请数量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2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二、上年结转政府信息公开申请数量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766" w:type="dxa"/>
            <w:vMerge w:val="restart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三、本年度办理结果</w:t>
            </w:r>
          </w:p>
        </w:tc>
        <w:tc>
          <w:tcPr>
            <w:tcW w:w="41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（一）予以公开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（二）部分公开</w:t>
            </w:r>
            <w:r>
              <w:rPr>
                <w:rFonts w:hint="eastAsia" w:ascii="楷体" w:hAnsi="楷体" w:eastAsia="楷体" w:cs="楷体"/>
                <w:spacing w:val="0"/>
                <w:sz w:val="24"/>
                <w:szCs w:val="24"/>
              </w:rPr>
              <w:t>（区分处理的，只计这一情形，不计其他情形）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（三）不予公开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1.属于国家秘密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2.其他法律行政法规禁止公开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3.危及“三安全一稳定”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4.保护第三方合法权益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5.属于三类内部事务信息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6.属于四类过程性信息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7.属于行政执法案卷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8.属于行政查询事项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8" w:space="0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（四）无法提供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1.本机关不掌握相关政府信息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8" w:space="0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2.没有现成信息需要另行制作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8" w:space="0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3.补正后申请内容仍不明确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single" w:color="auto" w:sz="8" w:space="0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（五）不予处理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1.信访举报投诉类申请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8" w:space="0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2.重复申请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8" w:space="0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3.要求提供公开出版物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8" w:space="0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4.无正当理由大量反复申请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single" w:color="auto" w:sz="8" w:space="0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5.要求行政机关确认或重新出具已获取信息</w:t>
            </w:r>
          </w:p>
        </w:tc>
        <w:tc>
          <w:tcPr>
            <w:tcW w:w="691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restart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（六）其他处理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1.申请人无正当理由逾期不补正、行政机关不再处理其政府信息公开申请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2.申请人逾期未按收费通知要求缴纳费用、行政机关不再处理其政府信息公开申请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43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3.其他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6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textAlignment w:val="auto"/>
            </w:pPr>
            <w:r>
              <w:rPr>
                <w:spacing w:val="0"/>
                <w:sz w:val="24"/>
                <w:szCs w:val="24"/>
              </w:rPr>
              <w:t>（七）总计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2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四、结转下年度继续办理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rFonts w:hint="default" w:ascii="Times New Roman" w:hAnsi="Times New Roman" w:cs="Times New Roman"/>
                <w:spacing w:val="0"/>
                <w:sz w:val="24"/>
                <w:szCs w:val="24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四、政府信息公开行政复议、行政诉讼情况</w:t>
      </w:r>
    </w:p>
    <w:tbl>
      <w:tblPr>
        <w:tblStyle w:val="3"/>
        <w:tblW w:w="97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  <w:gridCol w:w="649"/>
        <w:gridCol w:w="649"/>
        <w:gridCol w:w="649"/>
        <w:gridCol w:w="649"/>
        <w:gridCol w:w="649"/>
        <w:gridCol w:w="649"/>
        <w:gridCol w:w="650"/>
        <w:gridCol w:w="650"/>
        <w:gridCol w:w="650"/>
        <w:gridCol w:w="651"/>
        <w:gridCol w:w="651"/>
        <w:gridCol w:w="651"/>
        <w:gridCol w:w="651"/>
        <w:gridCol w:w="6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21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行政复议</w:t>
            </w:r>
          </w:p>
        </w:tc>
        <w:tc>
          <w:tcPr>
            <w:tcW w:w="6428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行政诉讼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2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结果维持</w:t>
            </w:r>
          </w:p>
        </w:tc>
        <w:tc>
          <w:tcPr>
            <w:tcW w:w="642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结果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纠正</w:t>
            </w:r>
          </w:p>
        </w:tc>
        <w:tc>
          <w:tcPr>
            <w:tcW w:w="64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其他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结果</w:t>
            </w:r>
          </w:p>
        </w:tc>
        <w:tc>
          <w:tcPr>
            <w:tcW w:w="64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尚未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审结</w:t>
            </w:r>
          </w:p>
        </w:tc>
        <w:tc>
          <w:tcPr>
            <w:tcW w:w="64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总计</w:t>
            </w:r>
          </w:p>
        </w:tc>
        <w:tc>
          <w:tcPr>
            <w:tcW w:w="321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未经复议直接起诉</w:t>
            </w:r>
          </w:p>
        </w:tc>
        <w:tc>
          <w:tcPr>
            <w:tcW w:w="321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复议后起诉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4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2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结果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维持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结果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纠正</w:t>
            </w:r>
          </w:p>
        </w:tc>
        <w:tc>
          <w:tcPr>
            <w:tcW w:w="64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其他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结果</w:t>
            </w:r>
          </w:p>
        </w:tc>
        <w:tc>
          <w:tcPr>
            <w:tcW w:w="64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尚未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审结</w:t>
            </w:r>
          </w:p>
        </w:tc>
        <w:tc>
          <w:tcPr>
            <w:tcW w:w="64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总计</w:t>
            </w:r>
          </w:p>
        </w:tc>
        <w:tc>
          <w:tcPr>
            <w:tcW w:w="64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结果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维持</w:t>
            </w:r>
          </w:p>
        </w:tc>
        <w:tc>
          <w:tcPr>
            <w:tcW w:w="64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结果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纠正</w:t>
            </w:r>
          </w:p>
        </w:tc>
        <w:tc>
          <w:tcPr>
            <w:tcW w:w="64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其他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结果</w:t>
            </w:r>
          </w:p>
        </w:tc>
        <w:tc>
          <w:tcPr>
            <w:tcW w:w="64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尚未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审结</w:t>
            </w:r>
          </w:p>
        </w:tc>
        <w:tc>
          <w:tcPr>
            <w:tcW w:w="64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总计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  <w:jc w:val="center"/>
        </w:trPr>
        <w:tc>
          <w:tcPr>
            <w:tcW w:w="64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</w:pPr>
            <w:r>
              <w:rPr>
                <w:spacing w:val="0"/>
                <w:sz w:val="24"/>
                <w:szCs w:val="24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五、存在的主要问题及改进情况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/>
        <w:jc w:val="both"/>
        <w:textAlignment w:val="auto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2021年，裕民县税务局政府信息公开工作扎实推进，取得了一定的成效，但也存在主动公开信息力度不够、部分政府信息公开工作人员业务素质有待进一步提高等问题。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40"/>
        <w:jc w:val="both"/>
        <w:textAlignment w:val="auto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我局采取了以下改进措施：一是进一步转变思想观念，不断提高政府信息公开意识和服务意识，进一步明确工作责任，加强检查督促，并落实到日常工作中，确保应公开尽公开。二是进一步加强学习。积极参加系统内或县委政府组织的政府信息公开相关培训，不断提升工作能力和水平，推动政府信息公开工作整体水平的提高。三是进一步做好依申请公开工作。充分发挥政府信息公开领导小组办公室团队作用，集体研究、准确把握公开方式内容，提高工作质量和效率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32"/>
        <w:jc w:val="both"/>
        <w:textAlignment w:val="auto"/>
        <w:rPr>
          <w:sz w:val="32"/>
          <w:szCs w:val="3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六、其他需要报告的事项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firstLine="632"/>
        <w:jc w:val="both"/>
        <w:textAlignment w:val="auto"/>
        <w:rPr>
          <w:rFonts w:hint="eastAsia" w:eastAsiaTheme="minorEastAsia"/>
          <w:lang w:eastAsia="zh-CN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对照</w:t>
      </w:r>
      <w:bookmarkStart w:id="0" w:name="_GoBack"/>
      <w:bookmarkEnd w:id="0"/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《国务院办公厅关于印发〈政府信息公开信息处理费管理办法〉的通知》（国办函〔2020〕109号）规定的收费标准自查，本年度没有收取信息公开处理费。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kZDI4YjMyMmRmYjVhNTBlNjFlYmNiY2I3Yzk5YmUifQ=="/>
  </w:docVars>
  <w:rsids>
    <w:rsidRoot w:val="4BA2067D"/>
    <w:rsid w:val="081466C4"/>
    <w:rsid w:val="135E06AC"/>
    <w:rsid w:val="4BA2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2024-11-07T10:09:00Z</dcterms:created>
  <dc:creator>→_→强</dc:creator>
  <cp:lastModifiedBy>王俊</cp:lastModifiedBy>
  <dcterms:modified xsi:type="dcterms:W3CDTF">2024-11-07T10:35:43Z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  <property fmtid="{D5CDD505-2E9C-101B-9397-08002B2CF9AE}" pid="3" name="ICV">
    <vt:lpwstr>08B0C177CFB04D1F834699BF0BB24473_11</vt:lpwstr>
  </property>
</Properties>
</file>