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国家税务总局裕民县税务局2022年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政府信息公开工作年度报告</w:t>
      </w:r>
    </w:p>
    <w:p>
      <w:pPr>
        <w:keepNext w:val="0"/>
        <w:keepLines w:val="0"/>
        <w:pageBreakBefore w:val="0"/>
        <w:widowControl/>
        <w:suppressLineNumbers w:val="0"/>
        <w:pBdr>
          <w:top w:val="single" w:color="EEEEEE" w:sz="6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42"/>
          <w:szCs w:val="42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根据《中华人民共和国政府信息公开条例》第五十条之规定，制作本报告。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一、总体情况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2022年以来，国家税务总局裕民县税务局（以下简称“裕民县税务局”）认真贯彻落实《中华人民共和国政府信息公开条例》《中华人民共和国保守国家秘密法》及政府信息公开工作有关规定要求，将政府信息公开工作贯穿于税收工作全过程，紧密结合税务工作实际和广大纳税人缴费人需求，扎实有效地开展政府信息公开工作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（一）主动公开情况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裕民县税务局认真贯彻落实《中华人民共和国政府信息公开条例》，主动定期通过政府门户网站公开相关税务信息，同时以多种方式将税收新政、涉税事项告知社会公众，坚持“公开为常态、不公开为例外”，依法依规加大主动公开力度，保障纳税人缴费人知情权，切实提高政府信息公开和纳税服务水平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（二）依申请公开情况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2022年度，裕民县税务局未收到政府信息公开申请。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（三）政府信息管理情况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裕民县税务局始终把政府信息公开工作作为“一把手工程”，与税收工作同安排、同部署、同考核。实行由分管领导统筹管理、办公室组织实施、联合其他各部门、专职人员处理的工作机制。对于涉税信息发布，详细填写《裕民县税务局政府信息公开发布保密审查表》及《裕民县税务局政府信息公开审批表》，做到有公开必审核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（四）政府信息公开平台建设情况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根据《中华人民共和国政府信息公开条例》中对政府信息公开的相关规定，按照要求和流程，在办税服务厅主动公开税务部门履职相关的法律、法规、规章、规范性文件，并及时做好更新维护。通过政府网站发布公告7次，切实提升纳税人缴费人税法遵从度。通过税企微信群、短信平台、企微税以及开展税法宣传进机关、进企业、进社区、进景点等途径对减税降费相关优惠政策及时公开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（五）监督保障情况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一是将政府信息公开工作纳入本局绩效考核，由政府信息公开领导小组负责对全局政府信息公开工作的组织领导、指导实施、监督检查、考核奖惩。二是严格遵循“谁审查、谁负责，谁发布、谁负责，先审查、后发布”和“涉密信息不上网，上网信息不涉密”的原则，对公开信息进行审核。三是公开举报电话，主动接受纳税人缴费人监督，积极回应社会关切。2022年，裕民县税务局未发生行政复议和行政诉讼事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二、主动公开政府信息情况</w:t>
      </w:r>
    </w:p>
    <w:tbl>
      <w:tblPr>
        <w:tblStyle w:val="3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05"/>
        <w:gridCol w:w="2105"/>
        <w:gridCol w:w="2105"/>
        <w:gridCol w:w="210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第二十条第（一）项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本年制发件数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现行有效件数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第二十条第（五）项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本年处理决定数量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1"/>
                <w:szCs w:val="21"/>
              </w:rPr>
              <w:t>129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第二十条第（六）项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本年处理决定数量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49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第二十条第（八）项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本年收费金额（单位：万元）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三、收到和处理政府信息公开申请情况</w:t>
      </w:r>
    </w:p>
    <w:tbl>
      <w:tblPr>
        <w:tblStyle w:val="3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892"/>
        <w:gridCol w:w="2623"/>
        <w:gridCol w:w="608"/>
        <w:gridCol w:w="606"/>
        <w:gridCol w:w="606"/>
        <w:gridCol w:w="606"/>
        <w:gridCol w:w="606"/>
        <w:gridCol w:w="606"/>
        <w:gridCol w:w="608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rFonts w:ascii="楷体" w:hAnsi="楷体" w:eastAsia="楷体" w:cs="楷体"/>
                <w:spacing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82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自然人</w:t>
            </w:r>
          </w:p>
        </w:tc>
        <w:tc>
          <w:tcPr>
            <w:tcW w:w="34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法人或其他组织</w:t>
            </w:r>
          </w:p>
        </w:tc>
        <w:tc>
          <w:tcPr>
            <w:tcW w:w="691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商业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企业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科研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社会公益组织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法律服务机构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其他</w:t>
            </w:r>
          </w:p>
        </w:tc>
        <w:tc>
          <w:tcPr>
            <w:tcW w:w="69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6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三、本年度办理结果</w:t>
            </w:r>
          </w:p>
        </w:tc>
        <w:tc>
          <w:tcPr>
            <w:tcW w:w="41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（一）予以公开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（二）部分公开</w:t>
            </w:r>
            <w:r>
              <w:rPr>
                <w:rFonts w:hint="eastAsia" w:ascii="楷体" w:hAnsi="楷体" w:eastAsia="楷体" w:cs="楷体"/>
                <w:spacing w:val="0"/>
                <w:sz w:val="20"/>
                <w:szCs w:val="20"/>
              </w:rPr>
              <w:t>（区分处理的，只计这一情形，不计其他情形）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（三）不予公开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1.属于国家秘密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3.危及“三安全一稳定”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4.保护第三方合法权益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5.属于三类内部事务信息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6.属于四类过程性信息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7.属于行政执法案卷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8.属于行政查询事项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（四）无法提供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3.补正后申请内容仍不明确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（五）不予处理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1.信访举报投诉类申请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2.重复申请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3.要求提供公开出版物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4.无正当理由大量反复申请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（六）其他处理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1.申请人无正当理由逾期不补正、行政机关不再处理其政府信息公开申请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2.申请人逾期未按收费通知要求缴纳费用、行政机关不再处理其政府信息公开申请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3.其他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0"/>
                <w:szCs w:val="20"/>
              </w:rPr>
              <w:t>（七）总计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四、结转下年度继续办理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0"/>
                <w:szCs w:val="20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四、政府信息公开行政复议、行政诉讼情况</w:t>
      </w:r>
    </w:p>
    <w:tbl>
      <w:tblPr>
        <w:tblStyle w:val="3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567"/>
        <w:gridCol w:w="567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  <w:gridCol w:w="569"/>
        <w:gridCol w:w="569"/>
        <w:gridCol w:w="56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行政复议</w:t>
            </w:r>
          </w:p>
        </w:tc>
        <w:tc>
          <w:tcPr>
            <w:tcW w:w="6503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其他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尚未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未经复议直接起诉</w:t>
            </w:r>
          </w:p>
        </w:tc>
        <w:tc>
          <w:tcPr>
            <w:tcW w:w="325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维持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其他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尚未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总计</w:t>
            </w:r>
          </w:p>
        </w:tc>
        <w:tc>
          <w:tcPr>
            <w:tcW w:w="6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维持</w:t>
            </w:r>
          </w:p>
        </w:tc>
        <w:tc>
          <w:tcPr>
            <w:tcW w:w="6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纠正</w:t>
            </w:r>
          </w:p>
        </w:tc>
        <w:tc>
          <w:tcPr>
            <w:tcW w:w="6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其他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结果</w:t>
            </w:r>
          </w:p>
        </w:tc>
        <w:tc>
          <w:tcPr>
            <w:tcW w:w="6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尚未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审结</w:t>
            </w:r>
          </w:p>
        </w:tc>
        <w:tc>
          <w:tcPr>
            <w:tcW w:w="6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五、存在的主要问题及改进情况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2022年，裕民县税务局政府信息公开工作存在以下问题：一是干部职工对政府信息公开工作认识不深入；二是主动回应纳税人缴费人问题关切方面存在不足。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裕民县税务局采取了以下改进措施：一是进一步通过集中培训等方式，加强相关工作人员对政府信息公开工作的认识，进一步提高政府信息公开工作专业能力。二是积极收集纳税人缴费人的关切问题，有针对性的加大公开力度，主动回应纳税人缴费人诉求，深入推进精细服务，不断提升纳税人缴费人满意度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六、其他需要报告的事项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eastAsiaTheme="minorEastAsia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　　2022年，裕民县税务局没有收取信息公开处理费情况。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kZDI4YjMyMmRmYjVhNTBlNjFlYmNiY2I3Yzk5YmUifQ=="/>
  </w:docVars>
  <w:rsids>
    <w:rsidRoot w:val="71146C27"/>
    <w:rsid w:val="41A772D4"/>
    <w:rsid w:val="42AB2955"/>
    <w:rsid w:val="624E2902"/>
    <w:rsid w:val="7114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2024-11-07T10:09:00Z</dcterms:created>
  <dc:creator>→_→强</dc:creator>
  <cp:lastModifiedBy>王俊</cp:lastModifiedBy>
  <dcterms:modified xsi:type="dcterms:W3CDTF">2024-11-07T10:34:26Z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2BAB6186F18244018E8214B495394C3B_11</vt:lpwstr>
  </property>
</Properties>
</file>