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kern w:val="0"/>
          <w:sz w:val="44"/>
          <w:szCs w:val="44"/>
          <w:lang w:val="en-US" w:eastAsia="zh-CN" w:bidi="ar"/>
        </w:rPr>
      </w:pPr>
      <w:r>
        <w:rPr>
          <w:rFonts w:hint="eastAsia" w:ascii="方正小标宋简体" w:hAnsi="方正小标宋简体" w:eastAsia="方正小标宋简体" w:cs="方正小标宋简体"/>
          <w:i w:val="0"/>
          <w:iCs w:val="0"/>
          <w:caps w:val="0"/>
          <w:color w:val="333333"/>
          <w:spacing w:val="0"/>
          <w:kern w:val="0"/>
          <w:sz w:val="44"/>
          <w:szCs w:val="44"/>
          <w:lang w:val="en-US" w:eastAsia="zh-CN" w:bidi="ar"/>
        </w:rPr>
        <w:t>国家税务总局裕民县税务局2023年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rPr>
      </w:pPr>
      <w:r>
        <w:rPr>
          <w:rFonts w:hint="eastAsia" w:ascii="方正小标宋简体" w:hAnsi="方正小标宋简体" w:eastAsia="方正小标宋简体" w:cs="方正小标宋简体"/>
          <w:i w:val="0"/>
          <w:iCs w:val="0"/>
          <w:caps w:val="0"/>
          <w:color w:val="333333"/>
          <w:spacing w:val="0"/>
          <w:kern w:val="0"/>
          <w:sz w:val="44"/>
          <w:szCs w:val="44"/>
          <w:lang w:val="en-US" w:eastAsia="zh-CN" w:bidi="ar"/>
        </w:rPr>
        <w:t>政府信息公开工作年度报告</w:t>
      </w:r>
    </w:p>
    <w:p>
      <w:pPr>
        <w:keepNext w:val="0"/>
        <w:keepLines w:val="0"/>
        <w:pageBreakBefore w:val="0"/>
        <w:widowControl/>
        <w:suppressLineNumbers w:val="0"/>
        <w:pBdr>
          <w:top w:val="single" w:color="EEEEEE" w:sz="6"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firstLine="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42"/>
          <w:szCs w:val="42"/>
        </w:rPr>
        <w:pict>
          <v:rect id="_x0000_i1025" o:spt="1" style="height:1.5pt;width:432pt;" fillcolor="#333333" filled="t" stroked="f" coordsize="21600,21600" o:hr="t" o:hrstd="t" o:hrnoshade="t" o:hralign="center">
            <v:path/>
            <v:fill on="t" focussize="0,0"/>
            <v:stroke on="f"/>
            <v:imagedata o:title=""/>
            <o:lock v:ext="edit"/>
            <w10:wrap type="none"/>
            <w10:anchorlock/>
          </v:rect>
        </w:pic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根据《中华人民共和国政府信息公开条例》（以下简称《条例》）第五十条规定，制作本报告。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kern w:val="0"/>
          <w:sz w:val="32"/>
          <w:szCs w:val="32"/>
          <w:lang w:val="en-US" w:eastAsia="zh-CN" w:bidi="ar"/>
        </w:rPr>
        <w:t>一、总体情况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2023年以来，国家税务总局裕民县税务局（以下简称裕民县税务局）认真贯彻落实《中华人民共和国政府信息公开条例》《中华人民共和国保守国家秘密法》《中华人民共和国政府信息公开条例》及上级税务机关政府信息公开工作有关规定要求，将政府信息公开工作贯穿于税收工作全过程，紧密结合税务工作实际和广大纳税人缴费人需求，扎实有效开展政府信息公开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i w:val="0"/>
          <w:iCs w:val="0"/>
          <w:caps w:val="0"/>
          <w:color w:val="333333"/>
          <w:spacing w:val="0"/>
          <w:kern w:val="0"/>
          <w:sz w:val="32"/>
          <w:szCs w:val="32"/>
          <w:lang w:val="en-US" w:eastAsia="zh-CN" w:bidi="ar"/>
        </w:rPr>
        <w:t>（一）主动公开情况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裕民县税务局认真贯彻落实《条例》，主动定期通过政府门户网站公开相关税务信息，同时积极拓展多种渠道将税收新政、涉税事项告知社会公众，按照主动公开范围和流程，坚持“公开为常态、不公开为例外”，依法依规加大主动公开力度，保障纳税人、缴费人知情权、参与权和监督权，切实提高政府信息公开和纳税服务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i w:val="0"/>
          <w:iCs w:val="0"/>
          <w:caps w:val="0"/>
          <w:color w:val="333333"/>
          <w:spacing w:val="0"/>
          <w:kern w:val="0"/>
          <w:sz w:val="32"/>
          <w:szCs w:val="32"/>
          <w:lang w:val="en-US" w:eastAsia="zh-CN" w:bidi="ar"/>
        </w:rPr>
        <w:t>（二）依申请公开情况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2023年度未收到政府信息公开申请。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i w:val="0"/>
          <w:iCs w:val="0"/>
          <w:caps w:val="0"/>
          <w:color w:val="333333"/>
          <w:spacing w:val="0"/>
          <w:kern w:val="0"/>
          <w:sz w:val="32"/>
          <w:szCs w:val="32"/>
          <w:lang w:val="en-US" w:eastAsia="zh-CN" w:bidi="ar"/>
        </w:rPr>
        <w:t>（三）政府信息管理情况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裕民县税务局始终把政府信息公开工作作为“一把手工程”摆上重要日程，着重抓要点、重宣传，始终聚焦主要工作，与税收工作同安排、同部署、同考核。实行由分管领导统筹管理、办公室组织实施、联合其他各部门、专职人员处理的工作机制。对于涉税信息发布，详细填写《裕民县税务局政府信息公开发布保密审查表》及《裕民县税务局政府信息公开审批表》，做到有公开必审核。始终加强政府公开信息规范化、细化规范内容,把好重点工作领域信息审核关口，进一步提高政务公开质量。2023年，裕民县税务局未发生行政复议和行政诉讼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i w:val="0"/>
          <w:iCs w:val="0"/>
          <w:caps w:val="0"/>
          <w:color w:val="333333"/>
          <w:spacing w:val="0"/>
          <w:kern w:val="0"/>
          <w:sz w:val="32"/>
          <w:szCs w:val="32"/>
          <w:lang w:val="en-US" w:eastAsia="zh-CN" w:bidi="ar"/>
        </w:rPr>
        <w:t>（四）政府信息公开平台建设情况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根据《条例》中对政府信息公开的相关规定，按照要求和流程，在办税服务厅主动公开税务部门履职相关的法律、法规、规章、规范性文件，并及时做好更新维护。利用多媒体互动屏及时为前来办理业务的纳税人缴费人提供最新的政策信息，及时主动回应纳税人缴费人关注的热点问题。通过政府网站发布公告11次，切实提升纳税人缴费人税法遵从度。进一步拓展信息的公开渠道，通过税企微信群、短信平台、企微税以及开展税法宣传进机关、进企业、进社区、进景点等途径等对减税降费相关优惠政策及时公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i w:val="0"/>
          <w:iCs w:val="0"/>
          <w:caps w:val="0"/>
          <w:color w:val="333333"/>
          <w:spacing w:val="0"/>
          <w:kern w:val="0"/>
          <w:sz w:val="32"/>
          <w:szCs w:val="32"/>
          <w:lang w:val="en-US" w:eastAsia="zh-CN" w:bidi="ar"/>
        </w:rPr>
        <w:t>（五）监督保障情况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一是强化组织领导。将政府信息公开工作纳入本局绩效考核，积极调整政府信息公开领导小组成员，由政府信息公开领导小组负责对全局政府信息公开工作的组织领导、指导实施、监督检查、考核奖惩。二是落实规范原则。严格遵循政务公开工作的规范、坚持“涉密信息不上网，上网信息不涉密”的原则，对公开信息进行审核。三是建立反馈渠道。公开举报电话，主动接受纳税人监督，积极回应社会关切。四是加强监督检查。定期做好政务信息的监督检查工作，针对问题做好优化整改，推进政务公开工作提质增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32"/>
        <w:jc w:val="both"/>
        <w:textAlignment w:val="auto"/>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kern w:val="0"/>
          <w:sz w:val="32"/>
          <w:szCs w:val="32"/>
          <w:lang w:val="en-US" w:eastAsia="zh-CN" w:bidi="ar"/>
        </w:rPr>
        <w:t>二、主动公开政府信息情况</w:t>
      </w:r>
    </w:p>
    <w:tbl>
      <w:tblPr>
        <w:tblStyle w:val="3"/>
        <w:tblW w:w="83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096"/>
        <w:gridCol w:w="2096"/>
        <w:gridCol w:w="2096"/>
        <w:gridCol w:w="2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jc w:val="center"/>
        </w:trPr>
        <w:tc>
          <w:tcPr>
            <w:tcW w:w="9740" w:type="dxa"/>
            <w:gridSpan w:val="4"/>
            <w:tcBorders>
              <w:top w:val="single" w:color="auto" w:sz="8" w:space="0"/>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第二十条第（一）项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信息内容</w:t>
            </w:r>
          </w:p>
        </w:tc>
        <w:tc>
          <w:tcPr>
            <w:tcW w:w="2435" w:type="dxa"/>
            <w:tcBorders>
              <w:top w:val="single" w:color="auto" w:sz="8" w:space="0"/>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本年制发件数</w:t>
            </w:r>
          </w:p>
        </w:tc>
        <w:tc>
          <w:tcPr>
            <w:tcW w:w="2435" w:type="dxa"/>
            <w:tcBorders>
              <w:top w:val="single" w:color="auto" w:sz="8" w:space="0"/>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本年废止件数</w:t>
            </w:r>
          </w:p>
        </w:tc>
        <w:tc>
          <w:tcPr>
            <w:tcW w:w="2435" w:type="dxa"/>
            <w:tcBorders>
              <w:top w:val="single" w:color="auto" w:sz="8" w:space="0"/>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现行有效件数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规章</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行政规范性文件</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c>
          <w:tcPr>
            <w:tcW w:w="2435" w:type="dxa"/>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第二十条第（五）项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信息内容</w:t>
            </w:r>
          </w:p>
        </w:tc>
        <w:tc>
          <w:tcPr>
            <w:tcW w:w="7305" w:type="dxa"/>
            <w:gridSpan w:val="3"/>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本年处理决定数量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行政许可</w:t>
            </w:r>
          </w:p>
        </w:tc>
        <w:tc>
          <w:tcPr>
            <w:tcW w:w="7305" w:type="dxa"/>
            <w:gridSpan w:val="3"/>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z w:val="20"/>
                <w:szCs w:val="20"/>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第二十条第（六）项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信息内容</w:t>
            </w:r>
          </w:p>
        </w:tc>
        <w:tc>
          <w:tcPr>
            <w:tcW w:w="7305" w:type="dxa"/>
            <w:gridSpan w:val="3"/>
            <w:tcBorders>
              <w:top w:val="single" w:color="auto" w:sz="8" w:space="0"/>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本年处理决定数量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行政处罚</w:t>
            </w:r>
          </w:p>
        </w:tc>
        <w:tc>
          <w:tcPr>
            <w:tcW w:w="7305" w:type="dxa"/>
            <w:gridSpan w:val="3"/>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z w:val="20"/>
                <w:szCs w:val="20"/>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行政强制</w:t>
            </w:r>
          </w:p>
        </w:tc>
        <w:tc>
          <w:tcPr>
            <w:tcW w:w="7305" w:type="dxa"/>
            <w:gridSpan w:val="3"/>
            <w:tcBorders>
              <w:top w:val="nil"/>
              <w:left w:val="nil"/>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第二十条第（八）项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信息内容</w:t>
            </w:r>
          </w:p>
        </w:tc>
        <w:tc>
          <w:tcPr>
            <w:tcW w:w="7305" w:type="dxa"/>
            <w:gridSpan w:val="3"/>
            <w:tcBorders>
              <w:top w:val="nil"/>
              <w:left w:val="nil"/>
              <w:bottom w:val="single" w:color="auto" w:sz="8" w:space="0"/>
              <w:right w:val="single" w:color="000000"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本年收费金额（单位：万元）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行政事业性收费</w:t>
            </w:r>
          </w:p>
        </w:tc>
        <w:tc>
          <w:tcPr>
            <w:tcW w:w="7305" w:type="dxa"/>
            <w:gridSpan w:val="3"/>
            <w:tcBorders>
              <w:top w:val="nil"/>
              <w:left w:val="nil"/>
              <w:bottom w:val="single" w:color="auto" w:sz="8" w:space="0"/>
              <w:right w:val="single" w:color="000000" w:sz="8" w:space="0"/>
            </w:tcBorders>
            <w:shd w:val="clear" w:color="auto" w:fill="auto"/>
            <w:tcMar>
              <w:left w:w="57" w:type="dxa"/>
              <w:right w:w="57"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pPr>
            <w:r>
              <w:rPr>
                <w:spacing w:val="0"/>
                <w:sz w:val="20"/>
                <w:szCs w:val="20"/>
              </w:rPr>
              <w:t>0</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宋体" w:hAnsi="宋体" w:eastAsia="宋体" w:cs="宋体"/>
          <w:i w:val="0"/>
          <w:iCs w:val="0"/>
          <w:caps w:val="0"/>
          <w:color w:val="333333"/>
          <w:spacing w:val="0"/>
          <w:sz w:val="24"/>
          <w:szCs w:val="24"/>
        </w:rPr>
      </w:pPr>
      <w:r>
        <w:rPr>
          <w:rFonts w:hint="eastAsia" w:ascii="黑体" w:hAnsi="黑体" w:eastAsia="黑体" w:cs="黑体"/>
          <w:b w:val="0"/>
          <w:bCs w:val="0"/>
          <w:i w:val="0"/>
          <w:iCs w:val="0"/>
          <w:caps w:val="0"/>
          <w:color w:val="333333"/>
          <w:spacing w:val="0"/>
          <w:kern w:val="0"/>
          <w:sz w:val="32"/>
          <w:szCs w:val="32"/>
          <w:lang w:val="en-US" w:eastAsia="zh-CN" w:bidi="ar"/>
        </w:rPr>
        <w:t>三、收到和处理政府信息公开申请情况</w:t>
      </w:r>
      <w:r>
        <w:rPr>
          <w:rFonts w:hint="eastAsia" w:ascii="宋体" w:hAnsi="宋体" w:eastAsia="宋体" w:cs="宋体"/>
          <w:i w:val="0"/>
          <w:iCs w:val="0"/>
          <w:caps w:val="0"/>
          <w:color w:val="333333"/>
          <w:spacing w:val="0"/>
          <w:kern w:val="0"/>
          <w:sz w:val="24"/>
          <w:szCs w:val="24"/>
          <w:lang w:val="en-US" w:eastAsia="zh-CN" w:bidi="ar"/>
        </w:rPr>
        <w:t> </w:t>
      </w:r>
    </w:p>
    <w:tbl>
      <w:tblPr>
        <w:tblStyle w:val="3"/>
        <w:tblW w:w="8383"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16"/>
        <w:gridCol w:w="934"/>
        <w:gridCol w:w="2818"/>
        <w:gridCol w:w="455"/>
        <w:gridCol w:w="658"/>
        <w:gridCol w:w="661"/>
        <w:gridCol w:w="660"/>
        <w:gridCol w:w="661"/>
        <w:gridCol w:w="464"/>
        <w:gridCol w:w="45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81" w:hRule="atLeast"/>
          <w:jc w:val="center"/>
        </w:trPr>
        <w:tc>
          <w:tcPr>
            <w:tcW w:w="4351" w:type="dxa"/>
            <w:gridSpan w:val="3"/>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（本列数据的勾稽关系为：第一项加第二项之和，等于第三项加第四项之和）</w:t>
            </w:r>
          </w:p>
        </w:tc>
        <w:tc>
          <w:tcPr>
            <w:tcW w:w="4032" w:type="dxa"/>
            <w:gridSpan w:val="7"/>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申请人情况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351" w:type="dxa"/>
            <w:gridSpan w:val="3"/>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45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自然人</w:t>
            </w:r>
          </w:p>
        </w:tc>
        <w:tc>
          <w:tcPr>
            <w:tcW w:w="3120" w:type="dxa"/>
            <w:gridSpan w:val="5"/>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法人或其他组织</w:t>
            </w:r>
          </w:p>
        </w:tc>
        <w:tc>
          <w:tcPr>
            <w:tcW w:w="456"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4" w:hRule="atLeast"/>
          <w:jc w:val="center"/>
        </w:trPr>
        <w:tc>
          <w:tcPr>
            <w:tcW w:w="4351" w:type="dxa"/>
            <w:gridSpan w:val="3"/>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45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商业企业</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科研机构</w:t>
            </w:r>
          </w:p>
        </w:tc>
        <w:tc>
          <w:tcPr>
            <w:tcW w:w="6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社会公益组织</w:t>
            </w:r>
          </w:p>
        </w:tc>
        <w:tc>
          <w:tcPr>
            <w:tcW w:w="66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法律服务机构</w:t>
            </w:r>
          </w:p>
        </w:tc>
        <w:tc>
          <w:tcPr>
            <w:tcW w:w="4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其他</w:t>
            </w:r>
          </w:p>
        </w:tc>
        <w:tc>
          <w:tcPr>
            <w:tcW w:w="456"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57" w:hRule="atLeast"/>
          <w:jc w:val="center"/>
        </w:trPr>
        <w:tc>
          <w:tcPr>
            <w:tcW w:w="4351"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一、本年新收政府信息公开申请数量</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0" w:hRule="atLeast"/>
          <w:jc w:val="center"/>
        </w:trPr>
        <w:tc>
          <w:tcPr>
            <w:tcW w:w="4351"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二、上年结转政府信息公开申请数量</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87" w:hRule="atLeast"/>
          <w:jc w:val="center"/>
        </w:trPr>
        <w:tc>
          <w:tcPr>
            <w:tcW w:w="562"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三、本年度办理结果</w:t>
            </w:r>
          </w:p>
        </w:tc>
        <w:tc>
          <w:tcPr>
            <w:tcW w:w="3789"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（一）予以公开</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35" w:hRule="atLeast"/>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3789"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（二）部分公开（区分处理的，只计这一情形，不计其他情形）</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（三）不予公开</w:t>
            </w: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1.属于国家秘密</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79" w:hRule="atLeast"/>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2.其他法律行政法规禁止公开</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3.危及“三安全一稳定”</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4.保护第三方合法权益</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5.属于三类内部事务信息</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6.属于四类过程性信息</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7.属于行政执法案卷</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50" w:hRule="atLeast"/>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8.属于行政查询事项</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74" w:hRule="atLeast"/>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（四）无法提供</w:t>
            </w: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1.本机关不掌握相关政府信息</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2.没有现成信息需要另行制作</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3.补正后申请内容仍不明确</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（五）不予处理</w:t>
            </w: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1.信访举报投诉类申请</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2.重复申请</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3.要求提供公开出版物</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4.无正当理由大量反复申请</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5.要求行政机关确认或重新出具已获取信息</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（六）其他处理</w:t>
            </w:r>
          </w:p>
        </w:tc>
        <w:tc>
          <w:tcPr>
            <w:tcW w:w="28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1.申请人无正当理由逾期不补正、行政机关不再处理其政府信息公开申请</w:t>
            </w:r>
          </w:p>
        </w:tc>
        <w:tc>
          <w:tcPr>
            <w:tcW w:w="45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2.申请人逾期未按收费通知要求缴纳费用、行政机关不再处理其政府信息公开申请</w:t>
            </w:r>
          </w:p>
        </w:tc>
        <w:tc>
          <w:tcPr>
            <w:tcW w:w="45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936"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285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3.其他</w:t>
            </w:r>
          </w:p>
        </w:tc>
        <w:tc>
          <w:tcPr>
            <w:tcW w:w="45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6" w:hRule="atLeast"/>
          <w:jc w:val="center"/>
        </w:trPr>
        <w:tc>
          <w:tcPr>
            <w:tcW w:w="562"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3789"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（七）总计</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351"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left"/>
              <w:textAlignment w:val="auto"/>
            </w:pPr>
            <w:r>
              <w:rPr>
                <w:rFonts w:asciiTheme="minorHAnsi" w:hAnsiTheme="minorHAnsi" w:eastAsiaTheme="minorEastAsia" w:cstheme="minorBidi"/>
                <w:kern w:val="0"/>
                <w:sz w:val="20"/>
                <w:szCs w:val="20"/>
                <w:lang w:val="en-US" w:eastAsia="zh-CN" w:bidi="ar"/>
              </w:rPr>
              <w:t>四、结转下年度继续办理</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6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5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kern w:val="0"/>
          <w:sz w:val="32"/>
          <w:szCs w:val="32"/>
          <w:lang w:val="en-US" w:eastAsia="zh-CN" w:bidi="ar"/>
        </w:rPr>
        <w:t>四、政府信息公开行政复议、行政诉讼情况</w:t>
      </w:r>
    </w:p>
    <w:tbl>
      <w:tblPr>
        <w:tblStyle w:val="3"/>
        <w:tblW w:w="8385"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96"/>
        <w:gridCol w:w="489"/>
        <w:gridCol w:w="503"/>
        <w:gridCol w:w="489"/>
        <w:gridCol w:w="547"/>
        <w:gridCol w:w="562"/>
        <w:gridCol w:w="518"/>
        <w:gridCol w:w="635"/>
        <w:gridCol w:w="547"/>
        <w:gridCol w:w="665"/>
        <w:gridCol w:w="635"/>
        <w:gridCol w:w="591"/>
        <w:gridCol w:w="591"/>
        <w:gridCol w:w="591"/>
        <w:gridCol w:w="52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2524" w:type="dxa"/>
            <w:gridSpan w:val="5"/>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行政复议</w:t>
            </w:r>
          </w:p>
        </w:tc>
        <w:tc>
          <w:tcPr>
            <w:tcW w:w="5861" w:type="dxa"/>
            <w:gridSpan w:val="10"/>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行政诉讼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35" w:hRule="atLeast"/>
          <w:jc w:val="center"/>
        </w:trPr>
        <w:tc>
          <w:tcPr>
            <w:tcW w:w="49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结果维持</w:t>
            </w:r>
          </w:p>
        </w:tc>
        <w:tc>
          <w:tcPr>
            <w:tcW w:w="489"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结果纠正</w:t>
            </w:r>
          </w:p>
        </w:tc>
        <w:tc>
          <w:tcPr>
            <w:tcW w:w="503"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其他结果</w:t>
            </w:r>
          </w:p>
        </w:tc>
        <w:tc>
          <w:tcPr>
            <w:tcW w:w="48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尚未审结</w:t>
            </w:r>
          </w:p>
        </w:tc>
        <w:tc>
          <w:tcPr>
            <w:tcW w:w="547"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计</w:t>
            </w:r>
          </w:p>
        </w:tc>
        <w:tc>
          <w:tcPr>
            <w:tcW w:w="2927" w:type="dxa"/>
            <w:gridSpan w:val="5"/>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未经复议直接起诉</w:t>
            </w:r>
          </w:p>
        </w:tc>
        <w:tc>
          <w:tcPr>
            <w:tcW w:w="2934" w:type="dxa"/>
            <w:gridSpan w:val="5"/>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复议后起诉</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489"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503"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489"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547"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宋体"/>
                <w:sz w:val="24"/>
                <w:szCs w:val="24"/>
              </w:rPr>
            </w:pPr>
          </w:p>
        </w:tc>
        <w:tc>
          <w:tcPr>
            <w:tcW w:w="5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结果维持</w:t>
            </w:r>
          </w:p>
        </w:tc>
        <w:tc>
          <w:tcPr>
            <w:tcW w:w="51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结果纠正</w:t>
            </w:r>
          </w:p>
        </w:tc>
        <w:tc>
          <w:tcPr>
            <w:tcW w:w="63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其他结果</w:t>
            </w:r>
          </w:p>
        </w:tc>
        <w:tc>
          <w:tcPr>
            <w:tcW w:w="547"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尚未审结</w:t>
            </w:r>
          </w:p>
        </w:tc>
        <w:tc>
          <w:tcPr>
            <w:tcW w:w="66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总 计</w:t>
            </w:r>
          </w:p>
        </w:tc>
        <w:tc>
          <w:tcPr>
            <w:tcW w:w="63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结果维持</w:t>
            </w:r>
          </w:p>
        </w:tc>
        <w:tc>
          <w:tcPr>
            <w:tcW w:w="59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结果纠正</w:t>
            </w:r>
          </w:p>
        </w:tc>
        <w:tc>
          <w:tcPr>
            <w:tcW w:w="59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其他结果</w:t>
            </w:r>
          </w:p>
        </w:tc>
        <w:tc>
          <w:tcPr>
            <w:tcW w:w="59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尚未审结</w:t>
            </w:r>
          </w:p>
        </w:tc>
        <w:tc>
          <w:tcPr>
            <w:tcW w:w="5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60" w:hRule="atLeast"/>
          <w:jc w:val="center"/>
        </w:trPr>
        <w:tc>
          <w:tcPr>
            <w:tcW w:w="49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89"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03"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489"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4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1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3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4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6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63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9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9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9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c>
          <w:tcPr>
            <w:tcW w:w="52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560" w:lineRule="exact"/>
              <w:ind w:left="0" w:right="0"/>
              <w:jc w:val="center"/>
              <w:textAlignment w:val="auto"/>
            </w:pPr>
            <w:r>
              <w:rPr>
                <w:rFonts w:asciiTheme="minorHAnsi" w:hAnsiTheme="minorHAnsi" w:eastAsiaTheme="minorEastAsia" w:cstheme="minorBidi"/>
                <w:kern w:val="0"/>
                <w:sz w:val="20"/>
                <w:szCs w:val="20"/>
                <w:lang w:val="en-US" w:eastAsia="zh-CN" w:bidi="ar"/>
              </w:rPr>
              <w:t>0</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29"/>
        <w:jc w:val="both"/>
        <w:textAlignment w:val="auto"/>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kern w:val="0"/>
          <w:sz w:val="32"/>
          <w:szCs w:val="32"/>
          <w:lang w:val="en-US" w:eastAsia="zh-CN" w:bidi="ar"/>
        </w:rPr>
        <w:t>五、存在的主要问题及改进情况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2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裕民县税务局政府信息公开工作存在以下问题：一是精准性不够，对主动公开的公开量、公开面、公开形式、公开深度等方面距离上级要求仍有差距；二是创新性不够，主要涉及政策解读方面，形式仍不够丰富，回应方式单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2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裕民县税务局采取了以下改进措施：一是积极参加培训。充分利用塔城地区税务局及裕民县人民政府举办的有关政府信息公开业务培训机会，提高税费政策把握、解读和回应的能力，努力提升信息公开的全面性。二是强化政府信息公开工作制度建设。不断规范化工作程序，创新工作形式，使信息公开工作在制度化、规范化方面有新的突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29"/>
        <w:jc w:val="both"/>
        <w:textAlignment w:val="auto"/>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kern w:val="0"/>
          <w:sz w:val="32"/>
          <w:szCs w:val="32"/>
          <w:lang w:val="en-US" w:eastAsia="zh-CN" w:bidi="ar"/>
        </w:rPr>
        <w:t>六、其他需要报告的事项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560" w:lineRule="exact"/>
        <w:ind w:left="0" w:right="0" w:firstLine="62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2023年，裕民县税务局没有收取信息公开处理费情况。</w:t>
      </w:r>
    </w:p>
    <w:p>
      <w:pPr>
        <w:keepNext w:val="0"/>
        <w:keepLines w:val="0"/>
        <w:pageBreakBefore w:val="0"/>
        <w:kinsoku/>
        <w:overflowPunct/>
        <w:topLinePunct w:val="0"/>
        <w:autoSpaceDE/>
        <w:autoSpaceDN/>
        <w:bidi w:val="0"/>
        <w:adjustRightInd/>
        <w:snapToGrid/>
        <w:spacing w:line="560" w:lineRule="exact"/>
        <w:textAlignment w:val="auto"/>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kZDI4YjMyMmRmYjVhNTBlNjFlYmNiY2I3Yzk5YmUifQ=="/>
  </w:docVars>
  <w:rsids>
    <w:rsidRoot w:val="248256FC"/>
    <w:rsid w:val="109E6918"/>
    <w:rsid w:val="13C5358E"/>
    <w:rsid w:val="24825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2024-11-07T10:11:00Z</dcterms:created>
  <dc:creator>→_→强</dc:creator>
  <cp:lastModifiedBy>王俊</cp:lastModifiedBy>
  <dcterms:modified xsi:type="dcterms:W3CDTF">2024-11-07T10:34:58Z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B42B843EE3874676931DEF5642038A05_11</vt:lpwstr>
  </property>
</Properties>
</file>