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78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裕民县政府办公室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2024年度法治政府建设工作总结</w:t>
      </w:r>
    </w:p>
    <w:p w14:paraId="0B7B4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CED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裕民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县政府办公室坚持以习近平新时代中国特色社会主义思想为指导，深入学习贯彻习近平法治思想、党的二十大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党的二十届三中全会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精神、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新时代党的治疆方略，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党中央、自治区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决策部署和县委、县政府工作要求，充分发挥统筹协调、参谋助手、督促检查、服务保障等职能作用，着力推动依法治县和法治政府建设各项工作落地见效，法治化水平进一步提升。</w:t>
      </w:r>
    </w:p>
    <w:p w14:paraId="0A8D8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一、法治政府建设工作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开展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 w14:paraId="3F722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（一）强化组织领导，压实法治责任。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领导班子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法治政府建设工作，主要负责同志切实履行推进法治建设第一责任人职责，机关党组发挥统筹协调作用，将法治政府建设与办公室中心工作同部署、同推进、同落实，全面夯实法治政府建设工作基础；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裕民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县政府办公室202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年度法治政府建设工作要点，明确工作职责与年度重点任务，确保办公室法治政府建设工作有制可依、有序可循；全面梳理政务服务、公文处理、会务组织等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，对标修订办公室内部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制度，形成了以制度管人、用制度管权、按制度办事的良好机制。</w:t>
      </w:r>
    </w:p>
    <w:p w14:paraId="6D31F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（二）加大普法力度，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贯彻法治思维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决落实“第一议题”制度、重大事项会前学法制度、理论学习中心组学习制度，结合“三会一课”、主题党日、政治理论学习日集中开展法治学习，充分利用“法宣在线”“法治新疆”“干部网络学院”等线上平台开展个人自学。在办公室设置法治宣传栏、张贴法治标语，利用电子显示屏滚动播放法治宣传内容，鼓励干部职工创作书画、视频等法治文化作品，参加知识竞赛等法治文化活动，提升法治文化素养。结合重要时间节点开展普法宣传教育，充分利用“4·15” 国家安全日、5月民法典宣传月、 “12·4” 宪法宣传日等重要时间节点开展主题宣传，营造知法、懂法、学法、守法、用法浓厚氛围。</w:t>
      </w:r>
    </w:p>
    <w:p w14:paraId="758F2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切实履职尽责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提升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法治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质效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领导决策和各项政务工作全力抓好办文办会办事，充分发挥“三服务”作用。加强发文日常管理，严把发文审核关口，控制发文规格，严密公文处理程序，着力增强文件的针对性、可操作性，切实提高办文质量，并进一步推动精文减会为基层减负，处理各类文件2000余份，加强涉密人员和文件管理，涉密文件回收率达到100%。坚持以文辅政，强化参谋助手作用，撰写领导讲话、总结等40余篇、制发行政复议文件11件、会议纪要31篇。严格落实中央八项规定精神，控制会议次数和规模，认真做好通知协调、服务保障、情况收集上报，加强对议题、议程安排的把关和各个环节的管理。高水平完成110余次会议服务保障工作，为县政府决策事项贯彻落实及政务工作正常开展提供了有力保障。</w:t>
      </w:r>
    </w:p>
    <w:p w14:paraId="14C7F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二、存在的不足</w:t>
      </w:r>
    </w:p>
    <w:p w14:paraId="26AED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一是学法的深度还不够。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部分干部职工法治意识不够强，在全面系统学习、准确理解把握习近平法治思想上还需持续发力。</w:t>
      </w:r>
    </w:p>
    <w:p w14:paraId="595E5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二是普法的力度还不够。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法治宣传教育工作还不够扎实，宣传形式单一，在开展法治宣传工作上探索不够，创新不足。</w:t>
      </w:r>
    </w:p>
    <w:p w14:paraId="4F1DE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三、下一步工作方向</w:t>
      </w:r>
    </w:p>
    <w:p w14:paraId="69479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（一）进一步提升法治素养。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坚持把习近平法治思想作为法治政府建设的根本遵循和行动指南，持续深入推进习近平法治思想学习宣传教育，让办事依法、遇事找法、解决问题用法、化解矛盾靠法成为干部职工履职尽责的必备素质。</w:t>
      </w:r>
    </w:p>
    <w:p w14:paraId="5D697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（二）进一步提升法治质效。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决把县委、县政府关于法治政府建设决策部署和工作要求落实到政务服务、参谋辅政、文稿起草等具体工作中，依法依规做好“三办”“三服务”工作，把遵循法治导向和法治要求贯穿到办公室工作的各方面、全过程。</w:t>
      </w:r>
    </w:p>
    <w:p w14:paraId="70C2C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（三）进一步拓宽普法渠道。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强化“互联网+”智慧普法，充分运用政府门户网站及各类网络新媒体，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拓宽普法工作覆盖面，结合志愿服务、社会帮扶等活动，通过法律条文上墙、法治案例宣讲等方式，增强群众法治观念和法律意识。</w:t>
      </w:r>
    </w:p>
    <w:p w14:paraId="11D87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186F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B71D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7D92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裕民县政府办公室</w:t>
      </w:r>
    </w:p>
    <w:p w14:paraId="1FA86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2024年12月26日</w:t>
      </w:r>
    </w:p>
    <w:p w14:paraId="6F50DA0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CED19CE"/>
    <w:rsid w:val="22503C26"/>
    <w:rsid w:val="3E1A4FB9"/>
    <w:rsid w:val="76F00AAF"/>
    <w:rsid w:val="CCED1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paragraph" w:customStyle="1" w:styleId="6">
    <w:name w:val="Char"/>
    <w:basedOn w:val="1"/>
    <w:qFormat/>
    <w:uiPriority w:val="0"/>
    <w:rPr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1502</Words>
  <Characters>1529</Characters>
  <Lines>0</Lines>
  <Paragraphs>0</Paragraphs>
  <TotalTime>5.33333333333333</TotalTime>
  <ScaleCrop>false</ScaleCrop>
  <LinksUpToDate>false</LinksUpToDate>
  <CharactersWithSpaces>1532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2025-05-21T13:21:00Z</dcterms:created>
  <dc:creator>user</dc:creator>
  <cp:lastModifiedBy>sinner</cp:lastModifiedBy>
  <cp:lastPrinted>2025-05-21T13:31:21Z</cp:lastPrinted>
  <dcterms:modified xsi:type="dcterms:W3CDTF">2025-05-22T03:57:44Z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eyJoZGlkIjoiYmJkZGRiY2IyNzdhN2Q0ODcxOTAzNzhiNjZlNjFjNGQiLCJ1c2VySWQiOiI2NTY2MzQ2MDAifQ==</vt:lpwstr>
  </property>
  <property fmtid="{D5CDD505-2E9C-101B-9397-08002B2CF9AE}" pid="4" name="ICV">
    <vt:lpwstr>E9C88B2A3A3E4D77999F93F859A0EAF9_13</vt:lpwstr>
  </property>
</Properties>
</file>