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autoSpaceDE w:val="0"/>
        <w:adjustRightInd/>
        <w:snapToGrid/>
        <w:spacing w:after="100" w:afterAutospacing="1" w:line="500" w:lineRule="exact"/>
        <w:ind w:firstLine="880" w:firstLineChars="200"/>
        <w:jc w:val="center"/>
        <w:rPr>
          <w:rFonts w:ascii="方正小标宋简体" w:hAnsi="宋体" w:eastAsia="方正小标宋简体" w:cs="宋体"/>
          <w:color w:val="343434"/>
          <w:kern w:val="2"/>
          <w:sz w:val="44"/>
          <w:szCs w:val="44"/>
        </w:rPr>
      </w:pPr>
      <w:bookmarkStart w:id="0" w:name="_GoBack"/>
      <w:r>
        <w:rPr>
          <w:rFonts w:hint="eastAsia" w:ascii="方正小标宋简体" w:hAnsi="宋体" w:eastAsia="方正小标宋简体" w:cs="宋体"/>
          <w:color w:val="343434"/>
          <w:kern w:val="2"/>
          <w:sz w:val="44"/>
          <w:szCs w:val="44"/>
        </w:rPr>
        <w:t>裕民县惠民惠农财政补贴政策清单</w:t>
      </w:r>
    </w:p>
    <w:bookmarkEnd w:id="0"/>
    <w:p>
      <w:pPr>
        <w:widowControl w:val="0"/>
        <w:shd w:val="clear" w:color="auto" w:fill="FFFFFF"/>
        <w:autoSpaceDE w:val="0"/>
        <w:adjustRightInd/>
        <w:snapToGrid/>
        <w:spacing w:after="100" w:afterAutospacing="1" w:line="500" w:lineRule="exact"/>
        <w:ind w:firstLine="480"/>
        <w:rPr>
          <w:rFonts w:ascii="仿宋_GB2312" w:hAnsi="宋体" w:eastAsia="仿宋_GB2312" w:cs="宋体"/>
          <w:color w:val="343434"/>
          <w:sz w:val="24"/>
          <w:szCs w:val="24"/>
        </w:rPr>
      </w:pPr>
      <w:r>
        <w:rPr>
          <w:rFonts w:hint="eastAsia" w:ascii="仿宋_GB2312" w:hAnsi="宋体" w:eastAsia="仿宋_GB2312" w:cs="宋体"/>
          <w:color w:val="343434"/>
          <w:sz w:val="24"/>
          <w:szCs w:val="24"/>
        </w:rPr>
        <w:t>填报单位：裕民县水利局（水库移民办）                                                  填报日期：2024年4月16日</w:t>
      </w:r>
    </w:p>
    <w:tbl>
      <w:tblPr>
        <w:tblStyle w:val="5"/>
        <w:tblW w:w="1442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3"/>
        <w:gridCol w:w="1556"/>
        <w:gridCol w:w="2670"/>
        <w:gridCol w:w="1491"/>
        <w:gridCol w:w="1492"/>
        <w:gridCol w:w="1157"/>
        <w:gridCol w:w="2243"/>
        <w:gridCol w:w="158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atLeast"/>
        </w:trPr>
        <w:tc>
          <w:tcPr>
            <w:tcW w:w="673"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序号</w:t>
            </w:r>
          </w:p>
        </w:tc>
        <w:tc>
          <w:tcPr>
            <w:tcW w:w="1556"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补贴项目名称</w:t>
            </w:r>
          </w:p>
        </w:tc>
        <w:tc>
          <w:tcPr>
            <w:tcW w:w="2670"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补贴政策文件名称及文号</w:t>
            </w:r>
          </w:p>
        </w:tc>
        <w:tc>
          <w:tcPr>
            <w:tcW w:w="1491"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补贴主管部门</w:t>
            </w:r>
          </w:p>
        </w:tc>
        <w:tc>
          <w:tcPr>
            <w:tcW w:w="1492"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  对象</w:t>
            </w:r>
          </w:p>
        </w:tc>
        <w:tc>
          <w:tcPr>
            <w:tcW w:w="1157"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补贴标准</w:t>
            </w:r>
          </w:p>
        </w:tc>
        <w:tc>
          <w:tcPr>
            <w:tcW w:w="2243"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补贴申请 流程</w:t>
            </w:r>
          </w:p>
        </w:tc>
        <w:tc>
          <w:tcPr>
            <w:tcW w:w="1584"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补贴发放频次</w:t>
            </w:r>
          </w:p>
        </w:tc>
        <w:tc>
          <w:tcPr>
            <w:tcW w:w="1559" w:type="dxa"/>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补贴发放时限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3" w:hRule="atLeast"/>
        </w:trPr>
        <w:tc>
          <w:tcPr>
            <w:tcW w:w="673" w:type="dxa"/>
            <w:vMerge w:val="restart"/>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r>
              <w:rPr>
                <w:rFonts w:hint="eastAsia" w:ascii="仿宋_GB2312" w:hAnsi="宋体" w:eastAsia="仿宋_GB2312" w:cs="宋体"/>
                <w:color w:val="343434"/>
                <w:sz w:val="18"/>
                <w:szCs w:val="18"/>
              </w:rPr>
              <w:t>1</w:t>
            </w:r>
          </w:p>
        </w:tc>
        <w:tc>
          <w:tcPr>
            <w:tcW w:w="1556"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大中型水库移民后期扶持直发直补资金</w:t>
            </w:r>
          </w:p>
        </w:tc>
        <w:tc>
          <w:tcPr>
            <w:tcW w:w="2670" w:type="dxa"/>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《关于完善大中型水库移民后期扶持政策的意见》国发〔2006〕17号</w:t>
            </w:r>
          </w:p>
        </w:tc>
        <w:tc>
          <w:tcPr>
            <w:tcW w:w="1491"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裕民县水利局</w:t>
            </w:r>
          </w:p>
        </w:tc>
        <w:tc>
          <w:tcPr>
            <w:tcW w:w="1492"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补贴对象是针对本县大中型水库移民和疆外迁入本县境内的大中型水库的农村移民</w:t>
            </w:r>
          </w:p>
        </w:tc>
        <w:tc>
          <w:tcPr>
            <w:tcW w:w="1157"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每人每年补助600元</w:t>
            </w:r>
          </w:p>
        </w:tc>
        <w:tc>
          <w:tcPr>
            <w:tcW w:w="2243"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各乡（镇）以水库为单位，逐级报送，并由国家和自治区人民政府核准的大中型水库的农村移民，</w:t>
            </w:r>
            <w:r>
              <w:rPr>
                <w:rFonts w:hint="eastAsia" w:ascii="仿宋_GB2312" w:hAnsi="宋体" w:eastAsia="仿宋_GB2312" w:cs="宋体"/>
                <w:color w:val="343434"/>
                <w:sz w:val="18"/>
                <w:szCs w:val="18"/>
                <w:lang w:eastAsia="zh-CN"/>
              </w:rPr>
              <w:t>可</w:t>
            </w:r>
            <w:r>
              <w:rPr>
                <w:rFonts w:hint="eastAsia" w:ascii="仿宋_GB2312" w:hAnsi="宋体" w:eastAsia="仿宋_GB2312" w:cs="宋体"/>
                <w:color w:val="343434"/>
                <w:sz w:val="18"/>
                <w:szCs w:val="18"/>
              </w:rPr>
              <w:t>领取补助。</w:t>
            </w:r>
          </w:p>
        </w:tc>
        <w:tc>
          <w:tcPr>
            <w:tcW w:w="1584"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按年一次性发放</w:t>
            </w:r>
          </w:p>
        </w:tc>
        <w:tc>
          <w:tcPr>
            <w:tcW w:w="1559" w:type="dxa"/>
            <w:vMerge w:val="restart"/>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下达之日起30日内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8" w:hRule="atLeast"/>
        </w:trPr>
        <w:tc>
          <w:tcPr>
            <w:tcW w:w="673"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56"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2670" w:type="dxa"/>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《关于印发《新疆维吾尔自治区大中型水库移民后期扶持资金管理办法》的通知》新财企〔2013〕144号</w:t>
            </w:r>
          </w:p>
        </w:tc>
        <w:tc>
          <w:tcPr>
            <w:tcW w:w="1491"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492"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157"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2243"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84"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59"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trPr>
        <w:tc>
          <w:tcPr>
            <w:tcW w:w="673"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56"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2670" w:type="dxa"/>
          </w:tcPr>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《关于印发《自治区大中型水利水电工程移民后期扶持人口实名制管理的暂行办法》的通知》新移字〔2016〕34号</w:t>
            </w:r>
          </w:p>
          <w:p>
            <w:pPr>
              <w:widowControl w:val="0"/>
              <w:autoSpaceDE w:val="0"/>
              <w:adjustRightInd/>
              <w:snapToGrid/>
              <w:spacing w:after="100" w:afterAutospacing="1" w:line="500" w:lineRule="exact"/>
              <w:rPr>
                <w:rFonts w:ascii="仿宋_GB2312" w:hAnsi="宋体" w:eastAsia="仿宋_GB2312" w:cs="宋体"/>
                <w:color w:val="343434"/>
                <w:sz w:val="18"/>
                <w:szCs w:val="18"/>
              </w:rPr>
            </w:pPr>
            <w:r>
              <w:rPr>
                <w:rFonts w:hint="eastAsia" w:ascii="仿宋_GB2312" w:hAnsi="宋体" w:eastAsia="仿宋_GB2312" w:cs="宋体"/>
                <w:color w:val="343434"/>
                <w:sz w:val="18"/>
                <w:szCs w:val="18"/>
              </w:rPr>
              <w:t>《新疆维吾尔自治区大中型水库移民后期扶持人口核定登记管理办法》新政办发</w:t>
            </w:r>
            <w:r>
              <w:rPr>
                <w:rFonts w:hint="eastAsia" w:ascii="仿宋_GB2312" w:hAnsi="宋体" w:eastAsia="仿宋_GB2312" w:cs="宋体"/>
                <w:color w:val="343434"/>
                <w:sz w:val="18"/>
                <w:szCs w:val="18"/>
                <w:lang w:eastAsia="zh-CN"/>
              </w:rPr>
              <w:t>〔</w:t>
            </w:r>
            <w:r>
              <w:rPr>
                <w:rFonts w:hint="eastAsia" w:ascii="仿宋_GB2312" w:hAnsi="宋体" w:eastAsia="仿宋_GB2312" w:cs="宋体"/>
                <w:color w:val="343434"/>
                <w:sz w:val="18"/>
                <w:szCs w:val="18"/>
              </w:rPr>
              <w:t>2006</w:t>
            </w:r>
            <w:r>
              <w:rPr>
                <w:rFonts w:hint="eastAsia" w:ascii="仿宋_GB2312" w:hAnsi="宋体" w:eastAsia="仿宋_GB2312" w:cs="宋体"/>
                <w:color w:val="343434"/>
                <w:sz w:val="18"/>
                <w:szCs w:val="18"/>
                <w:lang w:eastAsia="zh-CN"/>
              </w:rPr>
              <w:t>〕</w:t>
            </w:r>
            <w:r>
              <w:rPr>
                <w:rFonts w:hint="eastAsia" w:ascii="仿宋_GB2312" w:hAnsi="宋体" w:eastAsia="仿宋_GB2312" w:cs="宋体"/>
                <w:color w:val="343434"/>
                <w:sz w:val="18"/>
                <w:szCs w:val="18"/>
              </w:rPr>
              <w:t>197号</w:t>
            </w:r>
          </w:p>
        </w:tc>
        <w:tc>
          <w:tcPr>
            <w:tcW w:w="1491"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492"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157"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2243"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84"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c>
          <w:tcPr>
            <w:tcW w:w="1559" w:type="dxa"/>
            <w:vMerge w:val="continue"/>
          </w:tcPr>
          <w:p>
            <w:pPr>
              <w:widowControl w:val="0"/>
              <w:autoSpaceDE w:val="0"/>
              <w:adjustRightInd/>
              <w:snapToGrid/>
              <w:spacing w:after="100" w:afterAutospacing="1" w:line="500" w:lineRule="exact"/>
              <w:jc w:val="center"/>
              <w:rPr>
                <w:rFonts w:ascii="仿宋_GB2312" w:hAnsi="宋体" w:eastAsia="仿宋_GB2312" w:cs="宋体"/>
                <w:color w:val="343434"/>
                <w:sz w:val="18"/>
                <w:szCs w:val="18"/>
              </w:rPr>
            </w:pPr>
          </w:p>
        </w:tc>
      </w:tr>
    </w:tbl>
    <w:p>
      <w:pPr>
        <w:spacing w:line="360" w:lineRule="exact"/>
        <w:rPr>
          <w:rFonts w:ascii="仿宋_GB2312" w:eastAsia="仿宋_GB2312"/>
          <w:sz w:val="18"/>
          <w:szCs w:val="18"/>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displayVerticalDrawingGridEvery w:val="2"/>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OTRjMTQzOTVhMDU1MjkwNmM5ZjNlNDZlYzAzOTUifQ=="/>
  </w:docVars>
  <w:rsids>
    <w:rsidRoot w:val="005E22D7"/>
    <w:rsid w:val="000628A0"/>
    <w:rsid w:val="000C27E5"/>
    <w:rsid w:val="000E2E14"/>
    <w:rsid w:val="00150BF6"/>
    <w:rsid w:val="00323B43"/>
    <w:rsid w:val="00354977"/>
    <w:rsid w:val="003D37D8"/>
    <w:rsid w:val="004358AB"/>
    <w:rsid w:val="004F7153"/>
    <w:rsid w:val="005E22D7"/>
    <w:rsid w:val="007A79E1"/>
    <w:rsid w:val="008B7726"/>
    <w:rsid w:val="00B6068E"/>
    <w:rsid w:val="00C711FD"/>
    <w:rsid w:val="00CA08A3"/>
    <w:rsid w:val="00CC382D"/>
    <w:rsid w:val="00F44873"/>
    <w:rsid w:val="00FD7D71"/>
    <w:rsid w:val="0210108F"/>
    <w:rsid w:val="1F5F22B8"/>
    <w:rsid w:val="264D25EE"/>
    <w:rsid w:val="2A61397F"/>
    <w:rsid w:val="2B4456B1"/>
    <w:rsid w:val="33AE3C87"/>
    <w:rsid w:val="3C0D798F"/>
    <w:rsid w:val="3F3D18D3"/>
    <w:rsid w:val="439C1E2D"/>
    <w:rsid w:val="5BE965F0"/>
    <w:rsid w:val="682B5CF4"/>
    <w:rsid w:val="74F50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rFonts w:ascii="Tahoma" w:hAnsi="Tahoma" w:eastAsia="微软雅黑" w:cstheme="minorBidi"/>
      <w:sz w:val="18"/>
      <w:szCs w:val="18"/>
    </w:rPr>
  </w:style>
  <w:style w:type="character" w:customStyle="1" w:styleId="8">
    <w:name w:val="页脚 Char"/>
    <w:basedOn w:val="6"/>
    <w:link w:val="2"/>
    <w:autoRedefine/>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76</Words>
  <Characters>435</Characters>
  <Lines>3</Lines>
  <Paragraphs>1</Paragraphs>
  <TotalTime>17</TotalTime>
  <ScaleCrop>false</ScaleCrop>
  <LinksUpToDate>false</LinksUpToDate>
  <CharactersWithSpaces>510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2021-06-22T09:10:00Z</dcterms:created>
  <dc:creator>User</dc:creator>
  <cp:lastModifiedBy>裴国强</cp:lastModifiedBy>
  <dcterms:modified xsi:type="dcterms:W3CDTF">2024-04-16T02:52:21Z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CF654A5D53524F19B4C497A4C7BD960D_13</vt:lpwstr>
  </property>
</Properties>
</file>