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裕民县供销合作社联合社2024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rPr>
          <w:w w:val="98"/>
          <w:sz w:val="32"/>
        </w:rPr>
      </w:pPr>
      <w:r>
        <w:rPr>
          <w:rFonts w:ascii="仿宋_GB2312" w:hAnsi="仿宋_GB2312" w:eastAsia="仿宋_GB2312"/>
          <w:w w:val="98"/>
          <w:sz w:val="32"/>
        </w:rPr>
        <w:t>1、制定本社的发展战略和发展规划，指导社属企业的改革和发展，建立和完善为农业社会化服务的体系，强化为农服务功能。</w:t>
      </w:r>
    </w:p>
    <w:p>
      <w:pPr>
        <w:spacing w:line="580" w:lineRule="exact"/>
        <w:ind w:firstLine="640"/>
        <w:jc w:val="both"/>
      </w:pPr>
      <w:r>
        <w:rPr>
          <w:rFonts w:ascii="仿宋_GB2312" w:hAnsi="仿宋_GB2312" w:eastAsia="仿宋_GB2312"/>
          <w:sz w:val="32"/>
        </w:rPr>
        <w:t>2、宣传党和政府有关农村经济的方针、政策；向县委、县政府和有关部门反映农民的合理要求，协调与政府有关部门及其他社会组织的关系，提出有关发展合作社事业的政策建议，维护供销合作社的合法权益。</w:t>
      </w:r>
    </w:p>
    <w:p>
      <w:pPr>
        <w:spacing w:line="580" w:lineRule="exact"/>
        <w:ind w:firstLine="640"/>
        <w:jc w:val="both"/>
      </w:pPr>
      <w:r>
        <w:rPr>
          <w:rFonts w:ascii="仿宋_GB2312" w:hAnsi="仿宋_GB2312" w:eastAsia="仿宋_GB2312"/>
          <w:sz w:val="32"/>
        </w:rPr>
        <w:t>3、引领社属企业对本县的农副产品、农业生产资料经营，开拓农村市场，农业产业化进程，引导农民有组织进入市场。</w:t>
      </w:r>
    </w:p>
    <w:p>
      <w:pPr>
        <w:spacing w:line="580" w:lineRule="exact"/>
        <w:ind w:firstLine="640"/>
        <w:jc w:val="both"/>
      </w:pPr>
      <w:r>
        <w:rPr>
          <w:rFonts w:ascii="仿宋_GB2312" w:hAnsi="仿宋_GB2312" w:eastAsia="仿宋_GB2312"/>
          <w:sz w:val="32"/>
        </w:rPr>
        <w:t>4、管理社属企业的组织、队伍建设，指导本系统人才资源开发，不断提高职工队伍素质，贯彻民主办社的原则，加强系统自身组织联合与合作。</w:t>
      </w:r>
    </w:p>
    <w:p>
      <w:pPr>
        <w:spacing w:line="580" w:lineRule="exact"/>
        <w:ind w:firstLine="640"/>
        <w:jc w:val="both"/>
      </w:pPr>
      <w:r>
        <w:rPr>
          <w:rFonts w:ascii="仿宋_GB2312" w:hAnsi="仿宋_GB2312" w:eastAsia="仿宋_GB2312"/>
          <w:sz w:val="32"/>
        </w:rPr>
        <w:t>5、深化供销合作社综合改革，经营管理本社社有资产，确保社有资产的保值增值。</w:t>
      </w:r>
    </w:p>
    <w:p>
      <w:pPr>
        <w:spacing w:line="580" w:lineRule="exact"/>
        <w:ind w:firstLine="640"/>
        <w:jc w:val="both"/>
      </w:pPr>
      <w:r>
        <w:rPr>
          <w:rFonts w:ascii="仿宋_GB2312" w:hAnsi="仿宋_GB2312" w:eastAsia="仿宋_GB2312"/>
          <w:sz w:val="32"/>
        </w:rPr>
        <w:t>6、推动本系统参与社会主义新农村建设，加强农村现代流通体系建设，整合网络资源,引领本系统开展以连锁经营为主的经营业态创新和经营网络改造工作。</w:t>
      </w:r>
    </w:p>
    <w:p>
      <w:pPr>
        <w:spacing w:line="580" w:lineRule="exact"/>
        <w:ind w:firstLine="640"/>
        <w:jc w:val="both"/>
      </w:pPr>
      <w:r>
        <w:rPr>
          <w:rFonts w:ascii="仿宋_GB2312" w:hAnsi="仿宋_GB2312" w:eastAsia="仿宋_GB2312"/>
          <w:sz w:val="32"/>
        </w:rPr>
        <w:t>7、承办县委</w:t>
      </w:r>
      <w:r>
        <w:rPr>
          <w:rFonts w:hint="eastAsia" w:ascii="仿宋_GB2312" w:hAnsi="仿宋_GB2312" w:eastAsia="仿宋_GB2312"/>
          <w:sz w:val="32"/>
          <w:lang w:eastAsia="zh-CN"/>
        </w:rPr>
        <w:t>、</w:t>
      </w:r>
      <w:r>
        <w:rPr>
          <w:rFonts w:ascii="仿宋_GB2312" w:hAnsi="仿宋_GB2312" w:eastAsia="仿宋_GB2312"/>
          <w:sz w:val="32"/>
        </w:rPr>
        <w:t>县政府交办的其他事项。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裕民县供销合作社联合社2024年度，实有人数18人，其中：在职人员7人，增加1人；离休人员0人，增加0人；退休人员11人,增加0人。</w:t>
      </w:r>
    </w:p>
    <w:p>
      <w:pPr>
        <w:spacing w:line="580" w:lineRule="exact"/>
        <w:ind w:firstLine="640"/>
        <w:jc w:val="both"/>
      </w:pPr>
      <w:r>
        <w:rPr>
          <w:rFonts w:ascii="仿宋_GB2312" w:hAnsi="仿宋_GB2312" w:eastAsia="仿宋_GB2312"/>
          <w:sz w:val="32"/>
        </w:rPr>
        <w:t>裕民县供销合作社联合社无下属预算单位，下设2个科室，分别是：行政办公室、财务室。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2024年度收入总计139.44万元，</w:t>
      </w:r>
      <w:r>
        <w:rPr>
          <w:rFonts w:ascii="仿宋_GB2312" w:hAnsi="仿宋_GB2312" w:eastAsia="仿宋_GB2312"/>
          <w:b w:val="0"/>
          <w:sz w:val="32"/>
        </w:rPr>
        <w:t>其中：本年收入合计139.44万元，使用非财政拨款结余（含专用结余）0.00万元，年初结转和结余0.00万元。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2024年度支出总计139.44万元，</w:t>
      </w:r>
      <w:r>
        <w:rPr>
          <w:rFonts w:ascii="仿宋_GB2312" w:hAnsi="仿宋_GB2312" w:eastAsia="仿宋_GB2312"/>
          <w:b w:val="0"/>
          <w:sz w:val="32"/>
        </w:rPr>
        <w:t>其中：本年支出合计139.44万元，结余分配0.00万元，年末结转和结余0.00万元。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收入支出总体与上年相比，增加23.64万元，增长20.41%，主要原因是：本年新增1人，人员工资调增，支付2023年度考核绩效奖，导致人员经费增加。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本年收入139.44万元，</w:t>
      </w:r>
      <w:r>
        <w:rPr>
          <w:rFonts w:ascii="仿宋_GB2312" w:hAnsi="仿宋_GB2312" w:eastAsia="仿宋_GB2312"/>
          <w:b w:val="0"/>
          <w:sz w:val="32"/>
        </w:rPr>
        <w:t>其中：财政拨款收入139.44万元，占100.00%；上级补助收入0.00万元，占0.00%；事业收入0.00万元，占0.00%；经营收入0.00万元，占0.00%；附属单位上缴收入0.00万元，占0.00%；其他收入0.00万元，占0.00%。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本年支出139.44万元，</w:t>
      </w:r>
      <w:r>
        <w:rPr>
          <w:rFonts w:ascii="仿宋_GB2312" w:hAnsi="仿宋_GB2312" w:eastAsia="仿宋_GB2312"/>
          <w:b w:val="0"/>
          <w:sz w:val="32"/>
        </w:rPr>
        <w:t>其中：基本支出139.44万元，占100.00%；项目支出0.00万元，占0.00%；上缴上级支出0.00万元，占0.00%；经营支出0.00万元，占0.00%；对附属单位补助支出0.00万元，占0.00%。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2024年度财政拨款收入总计139.44万元，</w:t>
      </w:r>
      <w:r>
        <w:rPr>
          <w:rFonts w:ascii="仿宋_GB2312" w:hAnsi="仿宋_GB2312" w:eastAsia="仿宋_GB2312"/>
          <w:b w:val="0"/>
          <w:sz w:val="32"/>
        </w:rPr>
        <w:t>其中：年初财政拨款结转和结余0.00万元，本年财政拨款收入139.44万元。</w:t>
      </w:r>
      <w:r>
        <w:rPr>
          <w:rFonts w:ascii="仿宋_GB2312" w:hAnsi="仿宋_GB2312" w:eastAsia="仿宋_GB2312"/>
          <w:b/>
          <w:sz w:val="32"/>
        </w:rPr>
        <w:t>财政拨款支出总计139.44万元，</w:t>
      </w:r>
      <w:r>
        <w:rPr>
          <w:rFonts w:ascii="仿宋_GB2312" w:hAnsi="仿宋_GB2312" w:eastAsia="仿宋_GB2312"/>
          <w:b w:val="0"/>
          <w:sz w:val="32"/>
        </w:rPr>
        <w:t>其中：年末财政拨款结转和结余0.00万元，本年财政拨款支出139.44万元。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增加23.64万元，增长20.41%，主要原因是：本年新增1人，人员工资调增，支付2023年度考核绩效奖，导致人员经费增加。</w:t>
      </w:r>
      <w:r>
        <w:rPr>
          <w:rFonts w:ascii="仿宋_GB2312" w:hAnsi="仿宋_GB2312" w:eastAsia="仿宋_GB2312"/>
          <w:b/>
          <w:sz w:val="32"/>
        </w:rPr>
        <w:t>与年初预算相比，</w:t>
      </w:r>
      <w:r>
        <w:rPr>
          <w:rFonts w:ascii="仿宋_GB2312" w:hAnsi="仿宋_GB2312" w:eastAsia="仿宋_GB2312"/>
          <w:b w:val="0"/>
          <w:sz w:val="32"/>
        </w:rPr>
        <w:t>年初预算数125.75万元，决算数139.44万元，预决算差异率10.89%，主要原因是：本年新增1人，人员工资调增，支付2023年度考核绩效奖，年中追加人员经费。</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2024年度一般公共预算财政拨款支出139.44万元，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增加23.64万元，增长20.41%，主要原因是：本年新增1人，人员工资调增，支付2023年度考核绩效奖，导致人员经费增加。</w:t>
      </w:r>
      <w:r>
        <w:rPr>
          <w:rFonts w:ascii="仿宋_GB2312" w:hAnsi="仿宋_GB2312" w:eastAsia="仿宋_GB2312"/>
          <w:b/>
          <w:sz w:val="32"/>
        </w:rPr>
        <w:t>与年初预算相比,</w:t>
      </w:r>
      <w:r>
        <w:rPr>
          <w:rFonts w:ascii="仿宋_GB2312" w:hAnsi="仿宋_GB2312" w:eastAsia="仿宋_GB2312"/>
          <w:b w:val="0"/>
          <w:sz w:val="32"/>
        </w:rPr>
        <w:t>年初预算数125.75万元，决算数139.44万元，预决算差异率10.89%，主要原因是：本年新增1人，人员工资调增，支付2023年度考核绩效奖，年中追加人员经费。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1.社会保障和就业支出(类)28.79万元,占20.65%。</w:t>
      </w:r>
    </w:p>
    <w:p>
      <w:pPr>
        <w:spacing w:line="580" w:lineRule="exact"/>
        <w:ind w:firstLine="640"/>
        <w:jc w:val="both"/>
      </w:pPr>
      <w:r>
        <w:rPr>
          <w:rFonts w:ascii="仿宋_GB2312" w:hAnsi="仿宋_GB2312" w:eastAsia="仿宋_GB2312"/>
          <w:b w:val="0"/>
          <w:sz w:val="32"/>
        </w:rPr>
        <w:t>2.卫生健康支出(类)5.28万元,占3.79%。</w:t>
      </w:r>
    </w:p>
    <w:p>
      <w:pPr>
        <w:spacing w:line="580" w:lineRule="exact"/>
        <w:ind w:firstLine="640"/>
        <w:jc w:val="both"/>
      </w:pPr>
      <w:r>
        <w:rPr>
          <w:rFonts w:ascii="仿宋_GB2312" w:hAnsi="仿宋_GB2312" w:eastAsia="仿宋_GB2312"/>
          <w:b w:val="0"/>
          <w:sz w:val="32"/>
        </w:rPr>
        <w:t>3.商业服务业等支出(类)95.68万元,占68.62%。</w:t>
      </w:r>
    </w:p>
    <w:p>
      <w:pPr>
        <w:spacing w:line="580" w:lineRule="exact"/>
        <w:ind w:firstLine="640"/>
        <w:jc w:val="both"/>
      </w:pPr>
      <w:r>
        <w:rPr>
          <w:rFonts w:ascii="仿宋_GB2312" w:hAnsi="仿宋_GB2312" w:eastAsia="仿宋_GB2312"/>
          <w:b w:val="0"/>
          <w:sz w:val="32"/>
        </w:rPr>
        <w:t>4.住房保障支出(类)9.68万元,占6.94%。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1.社会保障和就业支出(类)行政事业单位养老支出(款)事业单位离退休(项):支出决算数为7.73万元，比上年决算增加2.37万元，增长44.22%,主要原因是：本年增加退休人员基础绩效奖，退休费支出增加。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12.33万元，比上年决算增加2.27万元，增长22.56%,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3.社会保障和就业支出(类)行政事业单位养老支出(款)机关事业单位职业年金缴费支出(项):支出决算数为8.74万元，比上年决算增加3.53万元，增长67.75%,主要原因是：本年新增退休人员，职业年金缴费支出增加。</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4.卫生健康支出(类)行政事业单位医疗(款)事业单位医疗(项):支出决算数为5.28万元，比上年决算增加0.61万元，增长13.06%,主要原因是：本年在职人员工资基数调增，医疗缴费基数上涨，相应支出增加。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5.商业服务业等支出(类)商业流通事务(款)其他商业流通事务支出(项):支出决算数为95.68万元，比上年决算增加13.10万元，增长15.86%,主要原因是：本年新增1人，人员工资调增，支付2023年度考核绩效奖，导致人员经费增加。</w:t>
      </w:r>
    </w:p>
    <w:p>
      <w:pPr>
        <w:spacing w:line="580" w:lineRule="exact"/>
        <w:ind w:firstLine="640"/>
        <w:jc w:val="both"/>
      </w:pPr>
      <w:r>
        <w:rPr>
          <w:rFonts w:ascii="仿宋_GB2312" w:hAnsi="仿宋_GB2312" w:eastAsia="仿宋_GB2312"/>
          <w:b w:val="0"/>
          <w:sz w:val="32"/>
        </w:rPr>
        <w:t>6.住房保障支出(类)住房改革支出(款)住房公积金(项):支出决算数为9.68万元，比上年决算增加1.75万元，增长22.07%,主要原因是：本年在职人员工资基数调增，公积金缴费基数上涨，相应支出增加。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2024年度一般公共预算财政拨款基本支出139.44万元，其中：</w:t>
      </w:r>
      <w:r>
        <w:rPr>
          <w:rFonts w:ascii="仿宋_GB2312" w:hAnsi="仿宋_GB2312" w:eastAsia="仿宋_GB2312"/>
          <w:b/>
          <w:sz w:val="32"/>
        </w:rPr>
        <w:t>人员经费132.89万元，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包括：基本工资、津贴补贴、奖金、绩效工资、机关事业单位基本养老保险缴费、职业年金缴费、职工基本医疗保险缴费、其他社会保障缴费、住房公积金、退休费、医疗费补助。</w:t>
      </w:r>
    </w:p>
    <w:p>
      <w:pPr>
        <w:spacing w:line="580" w:lineRule="exact"/>
        <w:ind w:firstLine="640"/>
        <w:jc w:val="both"/>
      </w:pPr>
      <w:r>
        <w:rPr>
          <w:rFonts w:ascii="仿宋_GB2312" w:hAnsi="仿宋_GB2312" w:eastAsia="仿宋_GB2312"/>
          <w:b/>
          <w:sz w:val="32"/>
        </w:rPr>
        <w:t>公用经费6.55万元，</w:t>
      </w:r>
      <w:r>
        <w:rPr>
          <w:rFonts w:ascii="仿宋_GB2312" w:hAnsi="仿宋_GB2312" w:eastAsia="仿宋_GB2312"/>
          <w:b w:val="0"/>
          <w:sz w:val="32"/>
        </w:rPr>
        <w:t>包括：办公费、电费、邮电费、取暖费、差旅费、工会经费、其他商品和服务支出。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rPr>
          <w:w w:val="96"/>
          <w:sz w:val="32"/>
        </w:rPr>
      </w:pPr>
      <w:r>
        <w:rPr>
          <w:rFonts w:ascii="仿宋_GB2312" w:hAnsi="仿宋_GB2312" w:eastAsia="仿宋_GB2312"/>
          <w:b w:val="0"/>
          <w:w w:val="96"/>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2024年度裕民县供销合作社联合社（事业单位）公用经费支出6.55万元，比上年增加1.83万元，增长38.77%，主要原因是：本年度差旅费、办公费较上年增加。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139.44万元，实际执行总额139.44万元；预算绩效评价项目0个，全年预算数0.00万元，全年执行数0.00万元。预算绩效管理取得的成效：本单位无预算绩效项目自评表。发现的问题及原因：本单位无预算绩效项目自评表。下一步改进措施：本单位无预算绩效项目自评表。具体附整体支出绩效自评表。</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裕民县供销合作社联合社</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贯彻执行中央、自治区关于农村经济工作和社会发展的方针、政策，研究制定县供销社的发展战略和发展规划，参与有关政策的制定，对社属企业进行指导、协调、监督、服务。2、参与和推动农业产业化经营，负责全县农业产业化发展指导，积极培植龙头企业；指导农村专业合作社的经营，强化为农服务功能。3、指导社属公司的改革和发展，切实履行农村合作经济组织、引导、服务职能，在组织管理经营上实行开门办社，指导农村合作经济的健康发展。4、建立和完善农业社会服务体系，做好为“农业、农村、农民”的服务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一是围绕农业产前、产中、产后各环节，依托中心基层社（新疆西部绿业农资有限责任公司）所在各乡村的农资网点开展农资配送服务19.2万亩；依托领办的向阳花农民专业合作社采用“订单＋入股＋合作＋土地流转＋工厂”的合作运营模式，种植订单作物制酱番茄3000亩以上，带动富余劳动力就业200余人，进一步提升农业社会化服务能力。二是充分发挥县域流通网络枢纽作用，组织指导参股农资企业采取上门对接、电话洽商、微信等渠道方式，开展“点对点”农资直供，减少中间环节，降低流通成本，确保农资到乡进村入店。截至目前，已销售化肥8000吨、农药110万元、种子（玉米）300万元、盐产品440.4吨。三是今年以来，主要领导多次带队深入基层开展调研走访，已通过“挂牌”的方式新建综合服务社2个（吉兰德综合服务社、江格斯北村综合服务社）；通过店面粉刷、更换店牌的方式对吉也克齐村为农服务中心、基层中心社、阿勒腾也木勒村基层社、木乎尔村综合服务社以及阿勒腾也木勒村综合服务社进行升级改造，为村民提供“一站式”综合服务，功能涵盖日用品购销、快递入村及农业生产资料配送等服务。成立全资社有企业（裕民县裕供供销合作社）1个，建立社有资产</w:t>
            </w:r>
            <w:bookmarkStart w:id="0" w:name="_GoBack"/>
            <w:bookmarkEnd w:id="0"/>
            <w:r>
              <w:rPr>
                <w:rFonts w:ascii="宋体" w:hAnsi="宋体" w:eastAsia="宋体"/>
                <w:sz w:val="16"/>
              </w:rPr>
              <w:t>管理委员会运营平台1个，并及时调整社有资产管理委员会成员。</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改造升级乡村基层社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引导成立、改造农村综合服务社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保障农资销售稳定供应</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0.8万吨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0.8万吨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农业化生产社会服务亩次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3000亩/次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3000亩/次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规范发展农民专业合作社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建立社有资产运营管理平台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07929"/>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5B708A"/>
    <w:rsid w:val="2FD27414"/>
    <w:rsid w:val="313F1D52"/>
    <w:rsid w:val="318029AB"/>
    <w:rsid w:val="31C63837"/>
    <w:rsid w:val="326F0A17"/>
    <w:rsid w:val="3277581B"/>
    <w:rsid w:val="38006E2C"/>
    <w:rsid w:val="38AB0322"/>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1</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2025-10-27T05:25:59Z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