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彩票公益金用于支持残疾人事业发展补助项目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裕民县残疾人联合会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裕民县残疾人联合会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王扬眉</w:t>
      </w:r>
    </w:p>
    <w:p>
      <w:pPr>
        <w:spacing w:line="540" w:lineRule="exact"/>
        <w:ind w:left="273" w:firstLine="567"/>
        <w:rPr>
          <w:rStyle w:val="19"/>
          <w:rFonts w:ascii="黑体" w:hAnsi="黑体" w:eastAsia="黑体"/>
          <w:b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2025年04月17日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27" w:firstLineChars="200"/>
        <w:jc w:val="left"/>
        <w:textAlignment w:val="auto"/>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习近平总书记强调，残疾人事业一定要继续推动，要促进残疾人全面发展和共同富裕。在</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十四五时期，要继续加快发展残疾人事业，团结带领残疾人和全国人民一道，积极投身全面建设社会主义现代化国家的伟大实践，共建共享更加幸福美好的生活。为贯彻落实国务院《国务院关于建立残疾儿童康复救助制度的意见》（国发〔2018〕20 号）、《“</w:t>
      </w:r>
      <w:bookmarkStart w:id="0" w:name="_GoBack"/>
      <w:bookmarkEnd w:id="0"/>
      <w:r>
        <w:rPr>
          <w:rStyle w:val="19"/>
          <w:rFonts w:hint="eastAsia" w:ascii="楷体" w:hAnsi="楷体" w:eastAsia="楷体"/>
          <w:b w:val="0"/>
          <w:bCs w:val="0"/>
          <w:spacing w:val="-4"/>
          <w:sz w:val="32"/>
          <w:szCs w:val="32"/>
        </w:rPr>
        <w:t>十四五”残疾人保障和发展规划》等文件精神，保障残疾人事业健康发展，2024年我单位根据地区下发《关于提前下达2024年中央财政残疾人事业发展补助资金预算的通知》（塔地财社[2023]68号）、《关于下达2024年中央专项彩票公益金支持地方社会公益事业发展（残疾人事业）资金预算的通知》（塔地财综[2024]17号）以及《2024年中央财政残疾人事业发展补助资金预算的通知》（塔地财社[2024]22号）文件中的绩效目标以及上年结转项目《2023年中央专项彩票公益金支持残疾人事业发展补助资金》（塔地财社[2023]10号）文件要求，为符合条件的0-6岁残疾儿童提供肢体矫治手术、功能训练等基本康复服务，改善残疾儿童功能状况，不断提高残疾儿童的生活自理能力，增强社会参与能力；同时支持困难重度残疾人实施家庭无障碍改造，改善残疾人居家环境，为有需求的残疾人进行辅助器具适配服务，使残疾人能更好的融入社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2024年我单位根据地区下发《关于提前下达2024年中央财政残疾人事业发展补助资金预算的通知》（塔地财社[2023]68号）、《关于下达2024年中央专项彩票公益金支持地方社会公益事业发展（残疾人事业）资金预算的通知》（塔地财综[2024]17号）以及《2024年中央财政残疾人事业发展补助资金预算的通知》（塔地财社[2024]22号）文件中的绩效目标以及上年结转项目《2023年中央专项彩票公益金支持残疾人事业发展补助资金》（塔地财社[2023]10号）文件要求，本项目实施内容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（1）</w:t>
      </w:r>
      <w:r>
        <w:rPr>
          <w:rStyle w:val="19"/>
          <w:rFonts w:hint="eastAsia" w:ascii="楷体" w:hAnsi="楷体" w:eastAsia="楷体"/>
          <w:b w:val="0"/>
          <w:bCs w:val="0"/>
          <w:spacing w:val="-4"/>
          <w:sz w:val="32"/>
          <w:szCs w:val="32"/>
        </w:rPr>
        <w:t>为2名符合条件的0-6岁残疾儿童提供肢体矫治手术、功能训练等基本康复服务，改善残疾儿童功能状况，不断提高残疾儿童的生活自理能力，增强社会参与能力。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支持12户困难重度残疾人家庭实施无障碍改造，达到改善残疾人居家环境的效果。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（3）</w:t>
      </w:r>
      <w:r>
        <w:rPr>
          <w:rStyle w:val="19"/>
          <w:rFonts w:hint="eastAsia" w:ascii="楷体" w:hAnsi="楷体" w:eastAsia="楷体"/>
          <w:b w:val="0"/>
          <w:bCs w:val="0"/>
          <w:spacing w:val="-4"/>
          <w:sz w:val="32"/>
          <w:szCs w:val="32"/>
        </w:rPr>
        <w:t>为15名有辅具需求的残疾人进行辅助器具适配服务。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项目实施情况：通过彩票公益金支持残疾人事业发展补助项目的实施，按照塔地财社[2023]10号、塔地财社[2023]68号、塔地财综[2024]17号以及塔地财社[2024]22号文件要求，完成项目支付8.108万元。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（1）</w:t>
      </w:r>
      <w:r>
        <w:rPr>
          <w:rStyle w:val="19"/>
          <w:rFonts w:hint="eastAsia" w:ascii="楷体" w:hAnsi="楷体" w:eastAsia="楷体"/>
          <w:b w:val="0"/>
          <w:bCs w:val="0"/>
          <w:spacing w:val="-4"/>
          <w:sz w:val="32"/>
          <w:szCs w:val="32"/>
        </w:rPr>
        <w:t>已完成残疾儿童康复救助2人，显著改善残疾儿童功能状况，增强自理及社会参与能力，基本实现残疾儿童应救尽救</w:t>
      </w:r>
      <w:r>
        <w:rPr>
          <w:rStyle w:val="19"/>
          <w:rFonts w:hint="eastAsia" w:ascii="楷体" w:hAnsi="楷体" w:eastAsia="楷体"/>
          <w:b w:val="0"/>
          <w:bCs w:val="0"/>
          <w:spacing w:val="-4"/>
          <w:sz w:val="32"/>
          <w:szCs w:val="32"/>
          <w:lang w:eastAsia="zh-CN"/>
        </w:rPr>
        <w:t>。</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（2）</w:t>
      </w:r>
      <w:r>
        <w:rPr>
          <w:rStyle w:val="19"/>
          <w:rFonts w:hint="eastAsia" w:ascii="楷体" w:hAnsi="楷体" w:eastAsia="楷体"/>
          <w:b w:val="0"/>
          <w:bCs w:val="0"/>
          <w:spacing w:val="-4"/>
          <w:sz w:val="32"/>
          <w:szCs w:val="32"/>
        </w:rPr>
        <w:t>已完成困难重度残疾人家庭改造户数12户，有效改善了残疾人的居家环境。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（3）</w:t>
      </w:r>
      <w:r>
        <w:rPr>
          <w:rStyle w:val="19"/>
          <w:rFonts w:hint="eastAsia" w:ascii="楷体" w:hAnsi="楷体" w:eastAsia="楷体"/>
          <w:b w:val="0"/>
          <w:bCs w:val="0"/>
          <w:spacing w:val="-4"/>
          <w:sz w:val="32"/>
          <w:szCs w:val="32"/>
        </w:rPr>
        <w:t>为有康复需求经济困难家庭7岁以上残疾儿童和成年持证残疾人（含视力、听力、肢体、智力、精神残疾）提供康复医疗、康复训练，已完成辅具采购置16人，提高了残疾人生活质量和社会活动参与能力。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该项目年初预算数4.77万元，全年预算数8.1万元，该项目资金已全部落实到位，资金来源为上级一般转移支付资金。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该项目年初预算数4.77万元，全年预算数8.1万元，全年执行数8.1万元，预算执行率为100%，主要用于：</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楷体" w:hAnsi="楷体" w:eastAsia="楷体"/>
          <w:b w:val="0"/>
          <w:bCs w:val="0"/>
          <w:spacing w:val="-4"/>
          <w:sz w:val="32"/>
          <w:szCs w:val="32"/>
        </w:rPr>
      </w:pPr>
      <w:r>
        <w:rPr>
          <w:rStyle w:val="19"/>
          <w:rFonts w:hint="default" w:ascii="Calibri" w:hAnsi="Calibri" w:eastAsia="楷体" w:cs="Calibri"/>
          <w:b w:val="0"/>
          <w:bCs w:val="0"/>
          <w:spacing w:val="-4"/>
          <w:sz w:val="32"/>
          <w:szCs w:val="32"/>
        </w:rPr>
        <w:t>①</w:t>
      </w:r>
      <w:r>
        <w:rPr>
          <w:rStyle w:val="19"/>
          <w:rFonts w:hint="eastAsia" w:ascii="楷体" w:hAnsi="楷体" w:eastAsia="楷体"/>
          <w:b w:val="0"/>
          <w:bCs w:val="0"/>
          <w:spacing w:val="-4"/>
          <w:sz w:val="32"/>
          <w:szCs w:val="32"/>
        </w:rPr>
        <w:t>为2名符合条件的0-6岁残疾儿童提供肢体矫治手术、功能训练等基本康复服务，改善残疾儿童功能状况，不断提高残疾儿童的生活自理能力，增强社会参与能力。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default" w:ascii="Calibri" w:hAnsi="Calibri" w:eastAsia="楷体" w:cs="Calibri"/>
          <w:b w:val="0"/>
          <w:bCs w:val="0"/>
          <w:spacing w:val="-4"/>
          <w:sz w:val="32"/>
          <w:szCs w:val="32"/>
        </w:rPr>
        <w:t>②</w:t>
      </w:r>
      <w:r>
        <w:rPr>
          <w:rStyle w:val="19"/>
          <w:rFonts w:hint="eastAsia" w:ascii="楷体" w:hAnsi="楷体" w:eastAsia="楷体"/>
          <w:b w:val="0"/>
          <w:bCs w:val="0"/>
          <w:spacing w:val="-4"/>
          <w:sz w:val="32"/>
          <w:szCs w:val="32"/>
        </w:rPr>
        <w:t>支持12户困难重度残疾人家庭实施无障碍改造，达到改善残疾人居家环境的效果。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default" w:ascii="Calibri" w:hAnsi="Calibri" w:eastAsia="楷体" w:cs="Calibri"/>
          <w:b w:val="0"/>
          <w:bCs w:val="0"/>
          <w:spacing w:val="-4"/>
          <w:sz w:val="32"/>
          <w:szCs w:val="32"/>
        </w:rPr>
        <w:t>③</w:t>
      </w:r>
      <w:r>
        <w:rPr>
          <w:rStyle w:val="19"/>
          <w:rFonts w:hint="eastAsia" w:ascii="楷体" w:hAnsi="楷体" w:eastAsia="楷体"/>
          <w:b w:val="0"/>
          <w:bCs w:val="0"/>
          <w:spacing w:val="-4"/>
          <w:sz w:val="32"/>
          <w:szCs w:val="32"/>
        </w:rPr>
        <w:t>为15名有辅具需求的残疾人进行辅助器具适配服务。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27"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7"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lang w:val="en-US" w:eastAsia="zh-CN"/>
        </w:rPr>
        <w:t>1.</w:t>
      </w:r>
      <w:r>
        <w:rPr>
          <w:rStyle w:val="19"/>
          <w:rFonts w:hint="eastAsia" w:ascii="楷体" w:hAnsi="楷体" w:eastAsia="楷体"/>
          <w:b w:val="0"/>
          <w:bCs w:val="0"/>
          <w:spacing w:val="-4"/>
          <w:sz w:val="32"/>
          <w:szCs w:val="32"/>
        </w:rPr>
        <w:t>总体目标</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彩票公益金支持残疾人事业发展补助项目总投资8.108万元，依据《2023年中央专项彩票公益金支持残疾人事业发展补助资金》塔地财社[2023]10号、《关于提前下达2024年中央财政残疾人事业发展补助资金预算的通知》裕财社[2023]42号（塔地财社[2023]68号）、《关于下达2024年中央专项彩票公益金支持地方社会公益事业发展（残疾人事业）资金预算的通知》塔地财综（2024）17号以及《2024年中央财政残疾人事业发展补助资金预算的通知》塔地财社（2024）22号文件要求。保障得到基本康复服务的残疾儿童不少于2人；惠及困难重度残疾人家庭改造户数不少于12户。为2名0-6岁家庭困难，视力，听力，言语、肢体、智力等残疾儿童和孤独症儿童提供人工耳蜗及助听器验配、肢体矫治手术、功能训练等服务，显著改善残疾儿童功能状况，增强自理及社会参与能力，基本实现残疾儿童应救尽救。支持困难重度残疾人实施家庭无障碍改造，改善残疾人居家环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根据塔地财社[2023]10号、塔地财社[2023]68号、塔地财综（2024）17号以及塔地财社（2024）22号文件要求，2024年1-5月开展项目困难重度残疾人家庭改造、辅助器具摸排及选送残疾儿童康复到定点机构进行救助准备工作，6-11月为12户困难重度残疾人家庭进行困难重度残疾人家庭无障碍改造；为16名有康复需求经济困难家庭7岁以上残疾儿童和成年持证残疾人（含视力、听力、肢体、智力、精神残疾）提供辅具采购置；对2名残疾儿童进行儿童康复救助补助。12月对已完成的项目进行验收，整理档案等后期工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27" w:firstLineChars="200"/>
        <w:jc w:val="left"/>
        <w:textAlignment w:val="auto"/>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left="319" w:leftChars="152" w:firstLine="312" w:firstLineChars="1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638" w:leftChars="304" w:firstLine="0" w:firstLineChars="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促进项目持续改进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的评价对象是[彩票公益金用于支持残疾人事业发展补助项目及其预算执行情况。该项目由[裕民县残疾人联合会]负责实施，旨在[保障得到基本康复服务的残疾儿童不少于2人；惠及困难重度残疾人家庭改造户数不少于12户。为15名有辅具需求的残疾人进行辅具适配服务，提高了残疾人生活质量和社会活动参与能力]。项目预算涵盖从[2024年1月1日]至[2024年12月25日]的全部资金投入与支出，涉及资金总额为[8.1</w:t>
      </w:r>
      <w:r>
        <w:rPr>
          <w:rStyle w:val="19"/>
          <w:rFonts w:hint="eastAsia" w:ascii="楷体" w:hAnsi="楷体" w:eastAsia="楷体"/>
          <w:b w:val="0"/>
          <w:bCs w:val="0"/>
          <w:spacing w:val="-4"/>
          <w:sz w:val="32"/>
          <w:szCs w:val="32"/>
          <w:lang w:val="en-US" w:eastAsia="zh-CN"/>
        </w:rPr>
        <w:t>]</w:t>
      </w:r>
      <w:r>
        <w:rPr>
          <w:rStyle w:val="19"/>
          <w:rFonts w:hint="eastAsia" w:ascii="楷体" w:hAnsi="楷体" w:eastAsia="楷体"/>
          <w:b w:val="0"/>
          <w:bCs w:val="0"/>
          <w:spacing w:val="-4"/>
          <w:sz w:val="32"/>
          <w:szCs w:val="32"/>
        </w:rPr>
        <w:t>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项目预算编制与执行：全面审视项目预算的编制依据、合理性、科学性以及实际执行情况，包括预算调整的原因和效</w:t>
      </w:r>
      <w:r>
        <w:rPr>
          <w:rStyle w:val="19"/>
          <w:rFonts w:hint="eastAsia" w:ascii="楷体" w:hAnsi="楷体" w:eastAsia="楷体"/>
          <w:b w:val="0"/>
          <w:bCs w:val="0"/>
          <w:spacing w:val="-4"/>
          <w:sz w:val="32"/>
          <w:szCs w:val="32"/>
          <w:lang w:eastAsia="zh-CN"/>
        </w:rPr>
        <w:t>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社会影响：考察项目对社会方面的综合影响。</w:t>
      </w:r>
    </w:p>
    <w:p>
      <w:pPr>
        <w:keepNext w:val="0"/>
        <w:keepLines w:val="0"/>
        <w:pageBreakBefore w:val="0"/>
        <w:widowControl w:val="0"/>
        <w:kinsoku/>
        <w:wordWrap/>
        <w:overflowPunct/>
        <w:topLinePunct w:val="0"/>
        <w:autoSpaceDE/>
        <w:autoSpaceDN/>
        <w:bidi w:val="0"/>
        <w:adjustRightInd/>
        <w:snapToGrid/>
        <w:spacing w:line="540" w:lineRule="exact"/>
        <w:ind w:firstLine="627" w:firstLineChars="200"/>
        <w:jc w:val="left"/>
        <w:textAlignment w:val="auto"/>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312" w:firstLineChars="1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（1）确定评价指标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（2）确定权重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（3）确定指标标准值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具体评价指标体系详情见附件1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（一）因素分析法。是指综合分析影响绩效目标实现、实施效果的内外部因素的方法。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（二）公众评判法。是指通过专家评估、公众问卷及抽样调查等方式进行评判的方法。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27" w:firstLineChars="200"/>
        <w:jc w:val="left"/>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项目绩效评价工作启动之初，成立了专门的评价工作小组，小组成员由项目管理人员及相关领域技术人员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0" w:leftChars="0" w:firstLine="312" w:firstLineChars="100"/>
        <w:jc w:val="left"/>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指标体系构建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报告撰写与反馈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638" w:leftChars="304" w:firstLine="0" w:firstLineChars="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后续跟踪与改进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jc w:val="left"/>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left="319" w:leftChars="152" w:firstLine="312" w:firstLineChars="1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评估。从项目目标的达成情况来看，[彩票公益金用于支持残疾人事业发展补助项目]在[保障得到基本康复服务的残疾儿童不少于2人]、[惠及困难重度残疾人家庭改造户数不少于12户]等方面表现出色，达到了预期的标准与要求。同时，项目也在[残疾人人享有康复的目标中]取得了显著的成效，[为2名残疾儿童进行康复服务]、[为15名有辅具需求的残疾人进行辅具适配服务，提高了残疾人生活质量和社会活动参与能力]等。在项目管理方面，[裕民县残疾人联合会]通过有效的规划、组织与协调，项目得以顺利实施，并在预算与时间上保持了良好的控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从项目效益的角度来看，本项目不仅实现了预期的社会效益、方面产生了积极的影响。具体而言，[提高残疾人康复服务水平]、方面的提升，为项目的利益相关者带来了实实在在的利益。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综上所述，[彩票公益金用于支持残疾人事业发展补助项目在绩效评价中表现出色，达到了项目的预期目标，并在多个方面取得了显著的成效。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p>
    <w:p>
      <w:pPr>
        <w:pStyle w:val="15"/>
        <w:keepNext w:val="0"/>
        <w:keepLines w:val="0"/>
        <w:pageBreakBefore w:val="0"/>
        <w:widowControl/>
        <w:kinsoku/>
        <w:wordWrap/>
        <w:overflowPunct/>
        <w:topLinePunct w:val="0"/>
        <w:autoSpaceDE/>
        <w:autoSpaceDN/>
        <w:bidi w:val="0"/>
        <w:adjustRightInd/>
        <w:snapToGrid/>
        <w:spacing w:before="0" w:after="0" w:line="540" w:lineRule="exact"/>
        <w:ind w:firstLine="624" w:firstLineChars="200"/>
        <w:jc w:val="left"/>
        <w:textAlignment w:val="auto"/>
        <w:rPr>
          <w:rFonts w:hint="default" w:ascii="Times New Roman" w:hAnsi="Times New Roman" w:eastAsia="仿宋_GB2312" w:cs="Times New Roman"/>
          <w:sz w:val="21"/>
          <w:szCs w:val="21"/>
          <w:highlight w:val="none"/>
        </w:rPr>
      </w:pPr>
      <w:r>
        <w:rPr>
          <w:rStyle w:val="19"/>
          <w:rFonts w:hint="eastAsia" w:ascii="楷体" w:hAnsi="楷体" w:eastAsia="楷体"/>
          <w:b w:val="0"/>
          <w:bCs w:val="0"/>
          <w:spacing w:val="-4"/>
          <w:sz w:val="32"/>
          <w:szCs w:val="32"/>
        </w:rPr>
        <w:t>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default" w:ascii="Times New Roman" w:hAnsi="Times New Roman" w:eastAsia="仿宋_GB2312" w:cs="Times New Roman"/>
          <w:sz w:val="21"/>
          <w:szCs w:val="21"/>
          <w:highlight w:val="none"/>
        </w:rPr>
        <w:t>表1综合评分表</w:t>
      </w:r>
    </w:p>
    <w:tbl>
      <w:tblPr>
        <w:tblStyle w:val="16"/>
        <w:tblW w:w="8757" w:type="dxa"/>
        <w:jc w:val="center"/>
        <w:tblInd w:w="0" w:type="dxa"/>
        <w:tblLayout w:type="fixed"/>
        <w:tblCellMar>
          <w:top w:w="0" w:type="dxa"/>
          <w:left w:w="108" w:type="dxa"/>
          <w:bottom w:w="0" w:type="dxa"/>
          <w:right w:w="108" w:type="dxa"/>
        </w:tblCellMar>
      </w:tblPr>
      <w:tblGrid>
        <w:gridCol w:w="2786"/>
        <w:gridCol w:w="1926"/>
        <w:gridCol w:w="2022"/>
        <w:gridCol w:w="2023"/>
      </w:tblGrid>
      <w:tr>
        <w:tblPrEx>
          <w:tblLayout w:type="fixed"/>
          <w:tblCellMar>
            <w:top w:w="0" w:type="dxa"/>
            <w:left w:w="108" w:type="dxa"/>
            <w:bottom w:w="0" w:type="dxa"/>
            <w:right w:w="108" w:type="dxa"/>
          </w:tblCellMar>
        </w:tblPrEx>
        <w:trPr>
          <w:trHeight w:val="90" w:hRule="atLeast"/>
          <w:tblHeader/>
          <w:jc w:val="center"/>
        </w:trPr>
        <w:tc>
          <w:tcPr>
            <w:tcW w:w="2786" w:type="dxa"/>
            <w:tcBorders>
              <w:top w:val="single" w:color="auto" w:sz="4" w:space="0"/>
              <w:left w:val="single" w:color="auto" w:sz="4" w:space="0"/>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6" w:type="dxa"/>
            <w:tcBorders>
              <w:top w:val="single" w:color="auto" w:sz="4" w:space="0"/>
              <w:left w:val="nil"/>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2" w:type="dxa"/>
            <w:tcBorders>
              <w:top w:val="single" w:color="auto" w:sz="4" w:space="0"/>
              <w:left w:val="nil"/>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keepNext w:val="0"/>
        <w:keepLines w:val="0"/>
        <w:pageBreakBefore w:val="0"/>
        <w:widowControl w:val="0"/>
        <w:kinsoku/>
        <w:wordWrap/>
        <w:overflowPunct/>
        <w:topLinePunct w:val="0"/>
        <w:autoSpaceDE/>
        <w:autoSpaceDN/>
        <w:bidi w:val="0"/>
        <w:adjustRightInd/>
        <w:snapToGrid/>
        <w:spacing w:line="540" w:lineRule="exact"/>
        <w:ind w:left="319" w:leftChars="152" w:firstLine="624" w:firstLineChars="200"/>
        <w:jc w:val="left"/>
        <w:textAlignment w:val="auto"/>
        <w:rPr>
          <w:rStyle w:val="19"/>
          <w:rFonts w:ascii="楷体" w:hAnsi="楷体" w:eastAsia="楷体"/>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27" w:firstLineChars="200"/>
        <w:jc w:val="left"/>
        <w:textAlignment w:val="auto"/>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40" w:lineRule="exact"/>
        <w:ind w:firstLine="627" w:firstLineChars="200"/>
        <w:jc w:val="left"/>
        <w:textAlignment w:val="auto"/>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本项目总投资8.1万元，财政资金及时足额到位，到位率100%，预算资金按计划进度执行。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预算编制较为详细，项目资金支出总体能够按照预算执行，预算资金支出8.1万元，预算执行率为100%。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210" w:leftChars="100" w:firstLine="312" w:firstLineChars="1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制度执行有效性</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val="0"/>
        <w:spacing w:line="540" w:lineRule="exact"/>
        <w:ind w:firstLine="627" w:firstLineChars="200"/>
        <w:jc w:val="left"/>
        <w:textAlignment w:val="auto"/>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left"/>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项目产出类指标包括产出数量、产出质量、产出时效、产出成本四方面的内容，由8个三级指标构成，权重分为40分，实际得分40分，得分率为100%。具体产出指标完成情况如下：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指标1：残疾儿童康复救助人数，指标值：≥2人，实际完成值：2人，指标完成率100 %，偏差原因：不存在偏差。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 困难重度残疾人家庭改造户数，指标值：≥12户，实际完成值：12户，指标完成率100 %，偏差原因：不存在偏差。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 基本型辅助器具适配服务人数，指标值：≥15人，实际完成值：16人 ，指标完成率106%，偏差原因：不存在偏差。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指标1：残疾人康复服务率 ，指标值：≥80% ，实际完成值：100%，指标完成率125%，偏差原因：年初指标为设置精准，后期改进。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指标1：资金支付及时率，指标值：≥100% ，实际完成值：100，指标完成率100 %，偏差原因：不存在偏差。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 残疾儿童康复救助平均成本，指标值：≤1.2万/人，实际完成值：1.2万/人，指标完成率100 %，偏差原因：不存在偏差。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指标2：困难重度残疾人家庭改造成本 ，指标值：≤4.2万，实际完成值：4.2万，指标完成率100 %，偏差原因：不存在偏差。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 基本型辅助器具成本 ，指标值：≤1.5万，实际完成值：1.5万，指标完成率100 %，偏差原因：不存在偏差。</w:t>
      </w:r>
    </w:p>
    <w:p>
      <w:pPr>
        <w:keepNext w:val="0"/>
        <w:keepLines w:val="0"/>
        <w:pageBreakBefore w:val="0"/>
        <w:widowControl w:val="0"/>
        <w:kinsoku/>
        <w:wordWrap/>
        <w:overflowPunct/>
        <w:topLinePunct w:val="0"/>
        <w:autoSpaceDE/>
        <w:autoSpaceDN/>
        <w:bidi w:val="0"/>
        <w:adjustRightInd/>
        <w:snapToGrid/>
        <w:spacing w:line="540" w:lineRule="exact"/>
        <w:ind w:firstLine="627" w:firstLineChars="200"/>
        <w:jc w:val="left"/>
        <w:textAlignment w:val="auto"/>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项目效益类指标包括项目实施效益和满意度两方面的内容，由1个三级指标构成，权重分为20分，实际得分20分，得分率为100%。具体效益指标及满意度指标完成情况如下：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 提高残疾人康复服务水平，指标值：有所提高，实际完成值：有所提高，指标完成率100 %，偏差原因：不存在偏差。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彩票公益金用于支持残疾人事业发展补助项目年初预算4.77万元，全年预算8.1万元，实际支出8.1万元，预算执行率为100%，项目绩效指标总体完成率为100%，总体偏差率为0%，偏差原因不存在偏差。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Fonts w:ascii="仿宋_GB2312" w:eastAsia="仿宋_GB2312"/>
          <w:spacing w:val="-4"/>
          <w:sz w:val="32"/>
          <w:szCs w:val="32"/>
        </w:rPr>
      </w:pP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Style w:val="19"/>
          <w:rFonts w:ascii="仿宋" w:hAnsi="仿宋" w:eastAsia="仿宋"/>
          <w:b w:val="0"/>
          <w:spacing w:val="-4"/>
          <w:sz w:val="32"/>
          <w:szCs w:val="32"/>
        </w:rPr>
      </w:pPr>
    </w:p>
    <w:sectPr>
      <w:footerReference r:id="rId3" w:type="default"/>
      <w:pgSz w:w="11906" w:h="16838"/>
      <w:pgMar w:top="1440" w:right="1558" w:bottom="1440" w:left="180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5"/>
      <w:numFmt w:val="decimal"/>
      <w:suff w:val="nothing"/>
      <w:lvlText w:val="（%1）"/>
      <w:lvlJc w:val="left"/>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A17D4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B2D139068D274E53B285B8FFA43AD149</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554ef3-a80a-4bb0-97c5-e337c4b00302}">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13</TotalTime>
  <ScaleCrop>false</ScaleCrop>
  <LinksUpToDate>false</LinksUpToDate>
  <CharactersWithSpaces>718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2025-10-27T05:23:22Z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B2D139068D274E53B285B8FFA43AD149</vt:lpwstr>
  </property>
</Properties>
</file>