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507A7">
      <w:pPr>
        <w:widowControl w:val="0"/>
        <w:shd w:val="clear" w:color="auto" w:fill="FFFFFF"/>
        <w:autoSpaceDE w:val="0"/>
        <w:adjustRightInd/>
        <w:snapToGrid/>
        <w:spacing w:after="100" w:afterAutospacing="1" w:line="500" w:lineRule="exact"/>
        <w:ind w:firstLine="880" w:firstLineChars="200"/>
        <w:jc w:val="center"/>
        <w:rPr>
          <w:rFonts w:ascii="方正小标宋简体" w:hAnsi="宋体" w:eastAsia="方正小标宋简体" w:cs="宋体"/>
          <w:color w:val="343434"/>
          <w:kern w:val="2"/>
          <w:sz w:val="44"/>
          <w:szCs w:val="44"/>
        </w:rPr>
      </w:pPr>
      <w:r>
        <w:rPr>
          <w:rFonts w:hint="eastAsia" w:ascii="方正小标宋简体" w:hAnsi="宋体" w:eastAsia="方正小标宋简体" w:cs="宋体"/>
          <w:color w:val="343434"/>
          <w:kern w:val="2"/>
          <w:sz w:val="44"/>
          <w:szCs w:val="44"/>
        </w:rPr>
        <w:t>裕民县惠民惠农财政补贴政策清单</w:t>
      </w:r>
    </w:p>
    <w:p w14:paraId="47911F95">
      <w:pPr>
        <w:widowControl w:val="0"/>
        <w:shd w:val="clear" w:color="auto" w:fill="FFFFFF"/>
        <w:autoSpaceDE w:val="0"/>
        <w:adjustRightInd/>
        <w:snapToGrid/>
        <w:spacing w:after="100" w:afterAutospacing="1" w:line="500" w:lineRule="exact"/>
        <w:ind w:firstLine="480"/>
        <w:rPr>
          <w:rFonts w:ascii="仿宋_GB2312" w:hAnsi="宋体" w:eastAsia="仿宋_GB2312" w:cs="宋体"/>
          <w:color w:val="343434"/>
          <w:sz w:val="24"/>
          <w:szCs w:val="24"/>
        </w:rPr>
      </w:pPr>
      <w:r>
        <w:rPr>
          <w:rFonts w:hint="eastAsia" w:ascii="仿宋_GB2312" w:hAnsi="宋体" w:eastAsia="仿宋_GB2312" w:cs="宋体"/>
          <w:color w:val="343434"/>
          <w:sz w:val="24"/>
          <w:szCs w:val="24"/>
        </w:rPr>
        <w:t>填报单位：裕民县水利局（水库移民办）                                                  填报日期：2026年4月20日</w:t>
      </w:r>
    </w:p>
    <w:tbl>
      <w:tblPr>
        <w:tblStyle w:val="6"/>
        <w:tblW w:w="1561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6"/>
        <w:gridCol w:w="1524"/>
        <w:gridCol w:w="3730"/>
        <w:gridCol w:w="1812"/>
        <w:gridCol w:w="1462"/>
        <w:gridCol w:w="1139"/>
        <w:gridCol w:w="2202"/>
        <w:gridCol w:w="1552"/>
        <w:gridCol w:w="1527"/>
      </w:tblGrid>
      <w:tr w14:paraId="5354FF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5" w:hRule="atLeast"/>
        </w:trPr>
        <w:tc>
          <w:tcPr>
            <w:tcW w:w="666" w:type="dxa"/>
          </w:tcPr>
          <w:p w14:paraId="6D691A36">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r>
              <w:rPr>
                <w:rFonts w:hint="eastAsia" w:ascii="仿宋_GB2312" w:hAnsi="宋体" w:eastAsia="仿宋_GB2312" w:cs="宋体"/>
                <w:color w:val="343434"/>
                <w:sz w:val="21"/>
                <w:szCs w:val="21"/>
              </w:rPr>
              <w:t>序号</w:t>
            </w:r>
          </w:p>
        </w:tc>
        <w:tc>
          <w:tcPr>
            <w:tcW w:w="1524" w:type="dxa"/>
          </w:tcPr>
          <w:p w14:paraId="7770B3FA">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r>
              <w:rPr>
                <w:rFonts w:hint="eastAsia" w:ascii="仿宋_GB2312" w:hAnsi="宋体" w:eastAsia="仿宋_GB2312" w:cs="宋体"/>
                <w:color w:val="343434"/>
                <w:sz w:val="21"/>
                <w:szCs w:val="21"/>
              </w:rPr>
              <w:t>补贴项目名称</w:t>
            </w:r>
          </w:p>
        </w:tc>
        <w:tc>
          <w:tcPr>
            <w:tcW w:w="3730" w:type="dxa"/>
          </w:tcPr>
          <w:p w14:paraId="31BF86C1">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r>
              <w:rPr>
                <w:rFonts w:hint="eastAsia" w:ascii="仿宋_GB2312" w:hAnsi="宋体" w:eastAsia="仿宋_GB2312" w:cs="宋体"/>
                <w:color w:val="343434"/>
                <w:sz w:val="21"/>
                <w:szCs w:val="21"/>
              </w:rPr>
              <w:t>补贴政策文件名称及文号</w:t>
            </w:r>
          </w:p>
        </w:tc>
        <w:tc>
          <w:tcPr>
            <w:tcW w:w="1812" w:type="dxa"/>
          </w:tcPr>
          <w:p w14:paraId="2C98D920">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r>
              <w:rPr>
                <w:rFonts w:hint="eastAsia" w:ascii="仿宋_GB2312" w:hAnsi="宋体" w:eastAsia="仿宋_GB2312" w:cs="宋体"/>
                <w:color w:val="343434"/>
                <w:sz w:val="21"/>
                <w:szCs w:val="21"/>
              </w:rPr>
              <w:t>补贴主管部门</w:t>
            </w:r>
          </w:p>
        </w:tc>
        <w:tc>
          <w:tcPr>
            <w:tcW w:w="1462" w:type="dxa"/>
          </w:tcPr>
          <w:p w14:paraId="7CF8371E">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r>
              <w:rPr>
                <w:rFonts w:hint="eastAsia" w:ascii="仿宋_GB2312" w:hAnsi="宋体" w:eastAsia="仿宋_GB2312" w:cs="宋体"/>
                <w:color w:val="343434"/>
                <w:sz w:val="21"/>
                <w:szCs w:val="21"/>
              </w:rPr>
              <w:t>补贴对象</w:t>
            </w:r>
          </w:p>
        </w:tc>
        <w:tc>
          <w:tcPr>
            <w:tcW w:w="1139" w:type="dxa"/>
          </w:tcPr>
          <w:p w14:paraId="78294068">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r>
              <w:rPr>
                <w:rFonts w:hint="eastAsia" w:ascii="仿宋_GB2312" w:hAnsi="宋体" w:eastAsia="仿宋_GB2312" w:cs="宋体"/>
                <w:color w:val="343434"/>
                <w:sz w:val="21"/>
                <w:szCs w:val="21"/>
              </w:rPr>
              <w:t>补贴标准</w:t>
            </w:r>
          </w:p>
        </w:tc>
        <w:tc>
          <w:tcPr>
            <w:tcW w:w="2202" w:type="dxa"/>
          </w:tcPr>
          <w:p w14:paraId="64B8F3E2">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r>
              <w:rPr>
                <w:rFonts w:hint="eastAsia" w:ascii="仿宋_GB2312" w:hAnsi="宋体" w:eastAsia="仿宋_GB2312" w:cs="宋体"/>
                <w:color w:val="343434"/>
                <w:sz w:val="21"/>
                <w:szCs w:val="21"/>
              </w:rPr>
              <w:t>补贴申请流程</w:t>
            </w:r>
          </w:p>
        </w:tc>
        <w:tc>
          <w:tcPr>
            <w:tcW w:w="1552" w:type="dxa"/>
          </w:tcPr>
          <w:p w14:paraId="1F49E79B">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r>
              <w:rPr>
                <w:rFonts w:hint="eastAsia" w:ascii="仿宋_GB2312" w:hAnsi="宋体" w:eastAsia="仿宋_GB2312" w:cs="宋体"/>
                <w:color w:val="343434"/>
                <w:sz w:val="21"/>
                <w:szCs w:val="21"/>
              </w:rPr>
              <w:t>补贴发放频次</w:t>
            </w:r>
          </w:p>
        </w:tc>
        <w:tc>
          <w:tcPr>
            <w:tcW w:w="1527" w:type="dxa"/>
          </w:tcPr>
          <w:p w14:paraId="40EBBD85">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r>
              <w:rPr>
                <w:rFonts w:hint="eastAsia" w:ascii="仿宋_GB2312" w:hAnsi="宋体" w:eastAsia="仿宋_GB2312" w:cs="宋体"/>
                <w:color w:val="343434"/>
                <w:sz w:val="21"/>
                <w:szCs w:val="21"/>
              </w:rPr>
              <w:t>补贴发放时限</w:t>
            </w:r>
          </w:p>
        </w:tc>
      </w:tr>
      <w:tr w14:paraId="7C77FE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0" w:hRule="atLeast"/>
        </w:trPr>
        <w:tc>
          <w:tcPr>
            <w:tcW w:w="666" w:type="dxa"/>
            <w:vMerge w:val="restart"/>
          </w:tcPr>
          <w:p w14:paraId="6261591F">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r>
              <w:rPr>
                <w:rFonts w:hint="eastAsia" w:ascii="仿宋_GB2312" w:hAnsi="宋体" w:eastAsia="仿宋_GB2312" w:cs="宋体"/>
                <w:color w:val="343434"/>
                <w:sz w:val="21"/>
                <w:szCs w:val="21"/>
              </w:rPr>
              <w:t>1</w:t>
            </w:r>
          </w:p>
        </w:tc>
        <w:tc>
          <w:tcPr>
            <w:tcW w:w="1524" w:type="dxa"/>
            <w:vMerge w:val="restart"/>
          </w:tcPr>
          <w:p w14:paraId="7D9E14D3">
            <w:pPr>
              <w:widowControl w:val="0"/>
              <w:autoSpaceDE w:val="0"/>
              <w:adjustRightInd/>
              <w:snapToGrid/>
              <w:spacing w:after="100" w:afterAutospacing="1" w:line="500" w:lineRule="exact"/>
              <w:rPr>
                <w:rFonts w:ascii="仿宋_GB2312" w:hAnsi="宋体" w:eastAsia="仿宋_GB2312" w:cs="宋体"/>
                <w:color w:val="343434"/>
                <w:sz w:val="21"/>
                <w:szCs w:val="21"/>
              </w:rPr>
            </w:pPr>
            <w:r>
              <w:rPr>
                <w:rFonts w:hint="eastAsia" w:ascii="仿宋_GB2312" w:hAnsi="宋体" w:eastAsia="仿宋_GB2312" w:cs="宋体"/>
                <w:color w:val="343434"/>
                <w:sz w:val="21"/>
                <w:szCs w:val="21"/>
              </w:rPr>
              <w:t>大中型水库移民后期扶持直补资金</w:t>
            </w:r>
          </w:p>
        </w:tc>
        <w:tc>
          <w:tcPr>
            <w:tcW w:w="3730" w:type="dxa"/>
          </w:tcPr>
          <w:p w14:paraId="1C3D5947">
            <w:pPr>
              <w:widowControl w:val="0"/>
              <w:autoSpaceDE w:val="0"/>
              <w:adjustRightInd/>
              <w:snapToGrid/>
              <w:spacing w:after="100" w:afterAutospacing="1" w:line="500" w:lineRule="exact"/>
              <w:rPr>
                <w:rFonts w:ascii="仿宋_GB2312" w:hAnsi="宋体" w:eastAsia="仿宋_GB2312" w:cs="宋体"/>
                <w:color w:val="343434"/>
                <w:sz w:val="21"/>
                <w:szCs w:val="21"/>
              </w:rPr>
            </w:pPr>
            <w:r>
              <w:rPr>
                <w:rFonts w:hint="eastAsia" w:ascii="仿宋_GB2312" w:hAnsi="宋体" w:eastAsia="仿宋_GB2312" w:cs="宋体"/>
                <w:color w:val="343434"/>
                <w:sz w:val="21"/>
                <w:szCs w:val="21"/>
              </w:rPr>
              <w:t>《关于完善大中型水库移民后期扶持政策的意见》国发〔2006〕17号</w:t>
            </w:r>
          </w:p>
        </w:tc>
        <w:tc>
          <w:tcPr>
            <w:tcW w:w="1812" w:type="dxa"/>
            <w:vMerge w:val="restart"/>
          </w:tcPr>
          <w:p w14:paraId="4C731440">
            <w:pPr>
              <w:widowControl w:val="0"/>
              <w:autoSpaceDE w:val="0"/>
              <w:adjustRightInd/>
              <w:snapToGrid/>
              <w:spacing w:after="100" w:afterAutospacing="1" w:line="500" w:lineRule="exact"/>
              <w:rPr>
                <w:rFonts w:ascii="仿宋_GB2312" w:hAnsi="宋体" w:eastAsia="仿宋_GB2312" w:cs="宋体"/>
                <w:color w:val="343434"/>
                <w:sz w:val="21"/>
                <w:szCs w:val="21"/>
              </w:rPr>
            </w:pPr>
            <w:r>
              <w:rPr>
                <w:rFonts w:hint="eastAsia" w:ascii="仿宋_GB2312" w:hAnsi="宋体" w:eastAsia="仿宋_GB2312" w:cs="宋体"/>
                <w:color w:val="343434"/>
                <w:sz w:val="21"/>
                <w:szCs w:val="21"/>
              </w:rPr>
              <w:t>裕民县水利局</w:t>
            </w:r>
          </w:p>
        </w:tc>
        <w:tc>
          <w:tcPr>
            <w:tcW w:w="1462" w:type="dxa"/>
            <w:vMerge w:val="restart"/>
          </w:tcPr>
          <w:p w14:paraId="561C932A">
            <w:pPr>
              <w:widowControl w:val="0"/>
              <w:autoSpaceDE w:val="0"/>
              <w:adjustRightInd/>
              <w:snapToGrid/>
              <w:spacing w:after="100" w:afterAutospacing="1" w:line="500" w:lineRule="exact"/>
              <w:rPr>
                <w:rFonts w:ascii="仿宋_GB2312" w:hAnsi="宋体" w:eastAsia="仿宋_GB2312" w:cs="宋体"/>
                <w:color w:val="343434"/>
                <w:sz w:val="21"/>
                <w:szCs w:val="21"/>
              </w:rPr>
            </w:pPr>
            <w:r>
              <w:rPr>
                <w:rFonts w:hint="eastAsia" w:ascii="仿宋_GB2312" w:hAnsi="宋体" w:eastAsia="仿宋_GB2312" w:cs="宋体"/>
                <w:color w:val="343434"/>
                <w:sz w:val="21"/>
                <w:szCs w:val="21"/>
              </w:rPr>
              <w:t>补贴对象是针对本县大中型水库移民和疆外迁入本县境内的大中型水库的农村移民</w:t>
            </w:r>
          </w:p>
        </w:tc>
        <w:tc>
          <w:tcPr>
            <w:tcW w:w="1139" w:type="dxa"/>
            <w:vMerge w:val="restart"/>
          </w:tcPr>
          <w:p w14:paraId="2B9B1B0F">
            <w:pPr>
              <w:widowControl w:val="0"/>
              <w:autoSpaceDE w:val="0"/>
              <w:adjustRightInd/>
              <w:snapToGrid/>
              <w:spacing w:after="100" w:afterAutospacing="1" w:line="500" w:lineRule="exact"/>
              <w:rPr>
                <w:rFonts w:ascii="仿宋_GB2312" w:hAnsi="宋体" w:eastAsia="仿宋_GB2312" w:cs="宋体"/>
                <w:color w:val="343434"/>
                <w:sz w:val="21"/>
                <w:szCs w:val="21"/>
              </w:rPr>
            </w:pPr>
            <w:r>
              <w:rPr>
                <w:rFonts w:hint="eastAsia" w:ascii="仿宋_GB2312" w:hAnsi="宋体" w:eastAsia="仿宋_GB2312" w:cs="宋体"/>
                <w:color w:val="343434"/>
                <w:sz w:val="21"/>
                <w:szCs w:val="21"/>
              </w:rPr>
              <w:t>每人300元</w:t>
            </w:r>
          </w:p>
        </w:tc>
        <w:tc>
          <w:tcPr>
            <w:tcW w:w="2202" w:type="dxa"/>
            <w:vMerge w:val="restart"/>
          </w:tcPr>
          <w:p w14:paraId="2C352516">
            <w:pPr>
              <w:widowControl w:val="0"/>
              <w:autoSpaceDE w:val="0"/>
              <w:adjustRightInd/>
              <w:snapToGrid/>
              <w:spacing w:after="100" w:afterAutospacing="1" w:line="500" w:lineRule="exact"/>
              <w:rPr>
                <w:rFonts w:ascii="仿宋_GB2312" w:hAnsi="宋体" w:eastAsia="仿宋_GB2312" w:cs="宋体"/>
                <w:color w:val="343434"/>
                <w:sz w:val="21"/>
                <w:szCs w:val="21"/>
              </w:rPr>
            </w:pPr>
            <w:r>
              <w:rPr>
                <w:rFonts w:hint="eastAsia" w:ascii="仿宋_GB2312" w:hAnsi="宋体" w:eastAsia="仿宋_GB2312" w:cs="宋体"/>
                <w:color w:val="343434"/>
                <w:sz w:val="21"/>
                <w:szCs w:val="21"/>
              </w:rPr>
              <w:t>各乡（镇）以水库为单位，逐级报送，并由国家和自治区人民政府核准的大中型水库的农村移民，可领取补助。</w:t>
            </w:r>
          </w:p>
        </w:tc>
        <w:tc>
          <w:tcPr>
            <w:tcW w:w="1552" w:type="dxa"/>
            <w:vMerge w:val="restart"/>
          </w:tcPr>
          <w:p w14:paraId="436DB869">
            <w:pPr>
              <w:widowControl w:val="0"/>
              <w:autoSpaceDE w:val="0"/>
              <w:adjustRightInd/>
              <w:snapToGrid/>
              <w:spacing w:after="100" w:afterAutospacing="1" w:line="500" w:lineRule="exact"/>
              <w:rPr>
                <w:rFonts w:ascii="仿宋_GB2312" w:hAnsi="宋体" w:eastAsia="仿宋_GB2312" w:cs="宋体"/>
                <w:color w:val="343434"/>
                <w:sz w:val="21"/>
                <w:szCs w:val="21"/>
              </w:rPr>
            </w:pPr>
            <w:r>
              <w:rPr>
                <w:rFonts w:hint="eastAsia" w:ascii="仿宋_GB2312" w:hAnsi="宋体" w:eastAsia="仿宋_GB2312" w:cs="宋体"/>
                <w:color w:val="343434"/>
                <w:sz w:val="21"/>
                <w:szCs w:val="21"/>
              </w:rPr>
              <w:t>按年一次性发放</w:t>
            </w:r>
          </w:p>
        </w:tc>
        <w:tc>
          <w:tcPr>
            <w:tcW w:w="1527" w:type="dxa"/>
            <w:vMerge w:val="restart"/>
          </w:tcPr>
          <w:p w14:paraId="75CE242B">
            <w:pPr>
              <w:widowControl w:val="0"/>
              <w:autoSpaceDE w:val="0"/>
              <w:adjustRightInd/>
              <w:snapToGrid/>
              <w:spacing w:after="100" w:afterAutospacing="1" w:line="500" w:lineRule="exact"/>
              <w:rPr>
                <w:rFonts w:ascii="仿宋_GB2312" w:hAnsi="宋体" w:eastAsia="仿宋_GB2312" w:cs="宋体"/>
                <w:color w:val="343434"/>
                <w:sz w:val="21"/>
                <w:szCs w:val="21"/>
              </w:rPr>
            </w:pPr>
            <w:r>
              <w:rPr>
                <w:rFonts w:hint="eastAsia" w:ascii="仿宋_GB2312" w:hAnsi="宋体" w:eastAsia="仿宋_GB2312" w:cs="宋体"/>
                <w:color w:val="343434"/>
                <w:sz w:val="21"/>
                <w:szCs w:val="21"/>
              </w:rPr>
              <w:t>下达之日起30日内</w:t>
            </w:r>
          </w:p>
        </w:tc>
      </w:tr>
      <w:tr w14:paraId="283F05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8" w:hRule="atLeast"/>
        </w:trPr>
        <w:tc>
          <w:tcPr>
            <w:tcW w:w="666" w:type="dxa"/>
            <w:vMerge w:val="continue"/>
          </w:tcPr>
          <w:p w14:paraId="66DCB09A">
            <w:pPr>
              <w:widowControl w:val="0"/>
              <w:autoSpaceDE w:val="0"/>
              <w:adjustRightInd/>
              <w:snapToGrid/>
              <w:spacing w:after="100" w:afterAutospacing="1" w:line="500" w:lineRule="exact"/>
              <w:jc w:val="center"/>
              <w:rPr>
                <w:rFonts w:hint="eastAsia" w:ascii="仿宋_GB2312" w:hAnsi="宋体" w:eastAsia="仿宋_GB2312" w:cs="宋体"/>
                <w:color w:val="343434"/>
                <w:sz w:val="21"/>
                <w:szCs w:val="21"/>
              </w:rPr>
            </w:pPr>
          </w:p>
        </w:tc>
        <w:tc>
          <w:tcPr>
            <w:tcW w:w="1524" w:type="dxa"/>
            <w:vMerge w:val="continue"/>
          </w:tcPr>
          <w:p w14:paraId="7EEB1A6D">
            <w:pPr>
              <w:widowControl w:val="0"/>
              <w:autoSpaceDE w:val="0"/>
              <w:adjustRightInd/>
              <w:snapToGrid/>
              <w:spacing w:after="100" w:afterAutospacing="1" w:line="500" w:lineRule="exact"/>
              <w:rPr>
                <w:rFonts w:hint="eastAsia" w:ascii="仿宋_GB2312" w:hAnsi="宋体" w:eastAsia="仿宋_GB2312" w:cs="宋体"/>
                <w:color w:val="343434"/>
                <w:sz w:val="21"/>
                <w:szCs w:val="21"/>
              </w:rPr>
            </w:pPr>
          </w:p>
        </w:tc>
        <w:tc>
          <w:tcPr>
            <w:tcW w:w="3730" w:type="dxa"/>
          </w:tcPr>
          <w:p w14:paraId="1B99A864">
            <w:pPr>
              <w:widowControl w:val="0"/>
              <w:autoSpaceDE w:val="0"/>
              <w:adjustRightInd/>
              <w:snapToGrid/>
              <w:spacing w:after="100" w:afterAutospacing="1" w:line="500" w:lineRule="exact"/>
              <w:rPr>
                <w:rFonts w:hint="eastAsia" w:ascii="仿宋_GB2312" w:hAnsi="宋体" w:eastAsia="仿宋_GB2312" w:cs="宋体"/>
                <w:color w:val="343434"/>
                <w:sz w:val="21"/>
                <w:szCs w:val="21"/>
              </w:rPr>
            </w:pPr>
            <w:r>
              <w:rPr>
                <w:rFonts w:hint="eastAsia" w:ascii="仿宋_GB2312" w:hAnsi="宋体" w:eastAsia="仿宋_GB2312" w:cs="宋体"/>
                <w:color w:val="343434"/>
                <w:sz w:val="21"/>
                <w:szCs w:val="21"/>
              </w:rPr>
              <w:t>《新疆维吾尔自治区大中型水库移民后期扶持人口核定登记管理办法》新政办发</w:t>
            </w:r>
            <w:bookmarkStart w:id="0" w:name="_GoBack"/>
            <w:r>
              <w:rPr>
                <w:rFonts w:hint="eastAsia" w:ascii="仿宋_GB2312" w:hAnsi="宋体" w:eastAsia="仿宋_GB2312" w:cs="宋体"/>
                <w:color w:val="343434"/>
                <w:sz w:val="21"/>
                <w:szCs w:val="21"/>
                <w:lang w:eastAsia="zh-CN"/>
              </w:rPr>
              <w:t>〔2006〕197号</w:t>
            </w:r>
            <w:bookmarkEnd w:id="0"/>
          </w:p>
        </w:tc>
        <w:tc>
          <w:tcPr>
            <w:tcW w:w="1812" w:type="dxa"/>
            <w:vMerge w:val="continue"/>
          </w:tcPr>
          <w:p w14:paraId="36EDB21F">
            <w:pPr>
              <w:widowControl w:val="0"/>
              <w:autoSpaceDE w:val="0"/>
              <w:adjustRightInd/>
              <w:snapToGrid/>
              <w:spacing w:after="100" w:afterAutospacing="1" w:line="500" w:lineRule="exact"/>
              <w:rPr>
                <w:rFonts w:hint="eastAsia" w:ascii="仿宋_GB2312" w:hAnsi="宋体" w:eastAsia="仿宋_GB2312" w:cs="宋体"/>
                <w:color w:val="343434"/>
                <w:sz w:val="21"/>
                <w:szCs w:val="21"/>
              </w:rPr>
            </w:pPr>
          </w:p>
        </w:tc>
        <w:tc>
          <w:tcPr>
            <w:tcW w:w="1462" w:type="dxa"/>
            <w:vMerge w:val="continue"/>
          </w:tcPr>
          <w:p w14:paraId="35C4B39A">
            <w:pPr>
              <w:widowControl w:val="0"/>
              <w:autoSpaceDE w:val="0"/>
              <w:adjustRightInd/>
              <w:snapToGrid/>
              <w:spacing w:after="100" w:afterAutospacing="1" w:line="500" w:lineRule="exact"/>
              <w:rPr>
                <w:rFonts w:hint="eastAsia" w:ascii="仿宋_GB2312" w:hAnsi="宋体" w:eastAsia="仿宋_GB2312" w:cs="宋体"/>
                <w:color w:val="343434"/>
                <w:sz w:val="21"/>
                <w:szCs w:val="21"/>
              </w:rPr>
            </w:pPr>
          </w:p>
        </w:tc>
        <w:tc>
          <w:tcPr>
            <w:tcW w:w="1139" w:type="dxa"/>
            <w:vMerge w:val="continue"/>
          </w:tcPr>
          <w:p w14:paraId="5597317C">
            <w:pPr>
              <w:widowControl w:val="0"/>
              <w:autoSpaceDE w:val="0"/>
              <w:adjustRightInd/>
              <w:snapToGrid/>
              <w:spacing w:after="100" w:afterAutospacing="1" w:line="500" w:lineRule="exact"/>
              <w:rPr>
                <w:rFonts w:hint="eastAsia" w:ascii="仿宋_GB2312" w:hAnsi="宋体" w:eastAsia="仿宋_GB2312" w:cs="宋体"/>
                <w:color w:val="343434"/>
                <w:sz w:val="21"/>
                <w:szCs w:val="21"/>
              </w:rPr>
            </w:pPr>
          </w:p>
        </w:tc>
        <w:tc>
          <w:tcPr>
            <w:tcW w:w="2202" w:type="dxa"/>
            <w:vMerge w:val="continue"/>
          </w:tcPr>
          <w:p w14:paraId="2F5664DF">
            <w:pPr>
              <w:widowControl w:val="0"/>
              <w:autoSpaceDE w:val="0"/>
              <w:adjustRightInd/>
              <w:snapToGrid/>
              <w:spacing w:after="100" w:afterAutospacing="1" w:line="500" w:lineRule="exact"/>
              <w:rPr>
                <w:rFonts w:hint="eastAsia" w:ascii="仿宋_GB2312" w:hAnsi="宋体" w:eastAsia="仿宋_GB2312" w:cs="宋体"/>
                <w:color w:val="343434"/>
                <w:sz w:val="21"/>
                <w:szCs w:val="21"/>
              </w:rPr>
            </w:pPr>
          </w:p>
        </w:tc>
        <w:tc>
          <w:tcPr>
            <w:tcW w:w="1552" w:type="dxa"/>
            <w:vMerge w:val="continue"/>
          </w:tcPr>
          <w:p w14:paraId="4A605A7C">
            <w:pPr>
              <w:widowControl w:val="0"/>
              <w:autoSpaceDE w:val="0"/>
              <w:adjustRightInd/>
              <w:snapToGrid/>
              <w:spacing w:after="100" w:afterAutospacing="1" w:line="500" w:lineRule="exact"/>
              <w:rPr>
                <w:rFonts w:hint="eastAsia" w:ascii="仿宋_GB2312" w:hAnsi="宋体" w:eastAsia="仿宋_GB2312" w:cs="宋体"/>
                <w:color w:val="343434"/>
                <w:sz w:val="21"/>
                <w:szCs w:val="21"/>
              </w:rPr>
            </w:pPr>
          </w:p>
        </w:tc>
        <w:tc>
          <w:tcPr>
            <w:tcW w:w="1527" w:type="dxa"/>
            <w:vMerge w:val="continue"/>
          </w:tcPr>
          <w:p w14:paraId="6C4D8857">
            <w:pPr>
              <w:widowControl w:val="0"/>
              <w:autoSpaceDE w:val="0"/>
              <w:adjustRightInd/>
              <w:snapToGrid/>
              <w:spacing w:after="100" w:afterAutospacing="1" w:line="500" w:lineRule="exact"/>
              <w:rPr>
                <w:rFonts w:hint="eastAsia" w:ascii="仿宋_GB2312" w:hAnsi="宋体" w:eastAsia="仿宋_GB2312" w:cs="宋体"/>
                <w:color w:val="343434"/>
                <w:sz w:val="21"/>
                <w:szCs w:val="21"/>
              </w:rPr>
            </w:pPr>
          </w:p>
        </w:tc>
      </w:tr>
      <w:tr w14:paraId="28BB0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9" w:hRule="atLeast"/>
        </w:trPr>
        <w:tc>
          <w:tcPr>
            <w:tcW w:w="666" w:type="dxa"/>
            <w:vMerge w:val="continue"/>
          </w:tcPr>
          <w:p w14:paraId="2EC471F8">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p>
        </w:tc>
        <w:tc>
          <w:tcPr>
            <w:tcW w:w="1524" w:type="dxa"/>
            <w:vMerge w:val="continue"/>
          </w:tcPr>
          <w:p w14:paraId="242CFAD9">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p>
        </w:tc>
        <w:tc>
          <w:tcPr>
            <w:tcW w:w="3730" w:type="dxa"/>
          </w:tcPr>
          <w:p w14:paraId="10960528">
            <w:pPr>
              <w:widowControl w:val="0"/>
              <w:autoSpaceDE w:val="0"/>
              <w:adjustRightInd/>
              <w:snapToGrid/>
              <w:spacing w:after="100" w:afterAutospacing="1" w:line="500" w:lineRule="exact"/>
              <w:rPr>
                <w:rFonts w:ascii="仿宋_GB2312" w:hAnsi="宋体" w:eastAsia="仿宋_GB2312" w:cs="宋体"/>
                <w:color w:val="343434"/>
                <w:sz w:val="21"/>
                <w:szCs w:val="21"/>
              </w:rPr>
            </w:pPr>
            <w:r>
              <w:rPr>
                <w:rFonts w:hint="eastAsia" w:ascii="仿宋_GB2312" w:hAnsi="宋体" w:eastAsia="仿宋_GB2312" w:cs="宋体"/>
                <w:color w:val="343434"/>
                <w:sz w:val="21"/>
                <w:szCs w:val="21"/>
              </w:rPr>
              <w:t>《新疆维吾尔自治区大中型水库移民后期扶持人口实名制动态管理办法》新水规〔2022〕4号</w:t>
            </w:r>
          </w:p>
        </w:tc>
        <w:tc>
          <w:tcPr>
            <w:tcW w:w="1812" w:type="dxa"/>
            <w:vMerge w:val="continue"/>
          </w:tcPr>
          <w:p w14:paraId="60160633">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p>
        </w:tc>
        <w:tc>
          <w:tcPr>
            <w:tcW w:w="1462" w:type="dxa"/>
            <w:vMerge w:val="continue"/>
          </w:tcPr>
          <w:p w14:paraId="366B0DC7">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p>
        </w:tc>
        <w:tc>
          <w:tcPr>
            <w:tcW w:w="1139" w:type="dxa"/>
            <w:vMerge w:val="continue"/>
          </w:tcPr>
          <w:p w14:paraId="18EA6C00">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p>
        </w:tc>
        <w:tc>
          <w:tcPr>
            <w:tcW w:w="2202" w:type="dxa"/>
            <w:vMerge w:val="continue"/>
          </w:tcPr>
          <w:p w14:paraId="378E2D58">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p>
        </w:tc>
        <w:tc>
          <w:tcPr>
            <w:tcW w:w="1552" w:type="dxa"/>
            <w:vMerge w:val="continue"/>
          </w:tcPr>
          <w:p w14:paraId="10E4CF51">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p>
        </w:tc>
        <w:tc>
          <w:tcPr>
            <w:tcW w:w="1527" w:type="dxa"/>
            <w:vMerge w:val="continue"/>
          </w:tcPr>
          <w:p w14:paraId="5E22579B">
            <w:pPr>
              <w:widowControl w:val="0"/>
              <w:autoSpaceDE w:val="0"/>
              <w:adjustRightInd/>
              <w:snapToGrid/>
              <w:spacing w:after="100" w:afterAutospacing="1" w:line="500" w:lineRule="exact"/>
              <w:jc w:val="center"/>
              <w:rPr>
                <w:rFonts w:ascii="仿宋_GB2312" w:hAnsi="宋体" w:eastAsia="仿宋_GB2312" w:cs="宋体"/>
                <w:color w:val="343434"/>
                <w:sz w:val="21"/>
                <w:szCs w:val="21"/>
              </w:rPr>
            </w:pPr>
          </w:p>
        </w:tc>
      </w:tr>
    </w:tbl>
    <w:p w14:paraId="076B896D">
      <w:pPr>
        <w:spacing w:line="360" w:lineRule="exact"/>
        <w:rPr>
          <w:rFonts w:ascii="仿宋_GB2312" w:eastAsia="仿宋_GB2312"/>
          <w:sz w:val="21"/>
          <w:szCs w:val="21"/>
        </w:rPr>
      </w:pPr>
    </w:p>
    <w:sectPr>
      <w:headerReference r:id="rId4" w:type="default"/>
      <w:pgSz w:w="16838" w:h="11906" w:orient="landscape"/>
      <w:pgMar w:top="720" w:right="720" w:bottom="720" w:left="72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9FEFC">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displayVerticalDrawingGridEvery w:val="2"/>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5E22D7"/>
    <w:rsid w:val="000628A0"/>
    <w:rsid w:val="0008780C"/>
    <w:rsid w:val="000C27E5"/>
    <w:rsid w:val="000E2E14"/>
    <w:rsid w:val="00150BF6"/>
    <w:rsid w:val="0017434F"/>
    <w:rsid w:val="00300D7F"/>
    <w:rsid w:val="00323B43"/>
    <w:rsid w:val="00335DEC"/>
    <w:rsid w:val="00354977"/>
    <w:rsid w:val="003B7A74"/>
    <w:rsid w:val="003D37D8"/>
    <w:rsid w:val="004358AB"/>
    <w:rsid w:val="004631F6"/>
    <w:rsid w:val="004F7153"/>
    <w:rsid w:val="005E22D7"/>
    <w:rsid w:val="00611D04"/>
    <w:rsid w:val="00766DAE"/>
    <w:rsid w:val="007A54EC"/>
    <w:rsid w:val="007A79E1"/>
    <w:rsid w:val="008B7726"/>
    <w:rsid w:val="00B04B4B"/>
    <w:rsid w:val="00B6068E"/>
    <w:rsid w:val="00BE0A27"/>
    <w:rsid w:val="00C51F2F"/>
    <w:rsid w:val="00C711FD"/>
    <w:rsid w:val="00CA08A3"/>
    <w:rsid w:val="00CC382D"/>
    <w:rsid w:val="00CC639B"/>
    <w:rsid w:val="00DB5962"/>
    <w:rsid w:val="00F44873"/>
    <w:rsid w:val="00F703BC"/>
    <w:rsid w:val="00FD7D71"/>
    <w:rsid w:val="0210108F"/>
    <w:rsid w:val="1F5F22B8"/>
    <w:rsid w:val="264D25EE"/>
    <w:rsid w:val="2A61397F"/>
    <w:rsid w:val="2B4456B1"/>
    <w:rsid w:val="2CC00368"/>
    <w:rsid w:val="33AE3C87"/>
    <w:rsid w:val="3C0D798F"/>
    <w:rsid w:val="439C1E2D"/>
    <w:rsid w:val="5BE965F0"/>
    <w:rsid w:val="682B5CF4"/>
    <w:rsid w:val="74F50F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pPr>
    <w:rPr>
      <w:sz w:val="18"/>
      <w:szCs w:val="18"/>
    </w:rPr>
  </w:style>
  <w:style w:type="paragraph" w:styleId="3">
    <w:name w:val="footer"/>
    <w:basedOn w:val="1"/>
    <w:link w:val="9"/>
    <w:unhideWhenUsed/>
    <w:uiPriority w:val="99"/>
    <w:pPr>
      <w:tabs>
        <w:tab w:val="center" w:pos="4153"/>
        <w:tab w:val="right" w:pos="8306"/>
      </w:tabs>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uiPriority w:val="99"/>
    <w:rPr>
      <w:rFonts w:ascii="Tahoma" w:hAnsi="Tahoma" w:eastAsia="微软雅黑" w:cstheme="minorBidi"/>
      <w:sz w:val="18"/>
      <w:szCs w:val="18"/>
    </w:rPr>
  </w:style>
  <w:style w:type="character" w:customStyle="1" w:styleId="9">
    <w:name w:val="页脚 Char"/>
    <w:basedOn w:val="7"/>
    <w:link w:val="3"/>
    <w:uiPriority w:val="99"/>
    <w:rPr>
      <w:rFonts w:ascii="Tahoma" w:hAnsi="Tahoma" w:eastAsia="微软雅黑" w:cstheme="minorBidi"/>
      <w:sz w:val="18"/>
      <w:szCs w:val="18"/>
    </w:rPr>
  </w:style>
  <w:style w:type="character" w:customStyle="1" w:styleId="10">
    <w:name w:val="批注框文本 Char"/>
    <w:basedOn w:val="7"/>
    <w:link w:val="2"/>
    <w:semiHidden/>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bc607d43-4796-4749-a35d-6a2e93ffd348</errorID>
      <errorWord>[2006]197号</errorWord>
      <group>L1_Knowledge</group>
      <groupName>知识性问题</groupName>
      <ability>L2_Knowledge</ability>
      <abilityName>其他知识</abilityName>
      <candidateList>
        <item>〔2006〕197号</item>
      </candidateList>
      <explain>发文字号格式错误。</explain>
      <paraID>1B99A864</paraID>
      <start>35</start>
      <end>45</end>
      <status>modified</status>
      <modifiedWord>〔2006〕197号</modifiedWord>
      <trackRevisions>false</trackRevisions>
    </reviewItem>
  </reviewItems>
  <config/>
</contractReview>
</file>

<file path=customXml/itemProps1.xml><?xml version="1.0" encoding="utf-8"?>
<ds:datastoreItem xmlns:ds="http://schemas.openxmlformats.org/officeDocument/2006/customXml" ds:itemID="{4356f3fe-2ded-4a49-b50b-aa112955b89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327</Words>
  <Characters>349</Characters>
  <Lines>3</Lines>
  <Paragraphs>1</Paragraphs>
  <TotalTime>41</TotalTime>
  <ScaleCrop>false</ScaleCrop>
  <LinksUpToDate>false</LinksUpToDate>
  <CharactersWithSpaces>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2021-06-22T09:10:00Z</dcterms:created>
  <dc:creator>User</dc:creator>
  <cp:lastModifiedBy>sinner</cp:lastModifiedBy>
  <cp:lastPrinted>2024-04-16T02:16:00Z</cp:lastPrinted>
  <dcterms:modified xsi:type="dcterms:W3CDTF">2026-04-20T08:28:44Z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eyJoZGlkIjoiMDYzYjE5MGYzMzVkMDdiNTQ3M2EwODA5NDg5Mjc5MjEiLCJ1c2VySWQiOiI2NTY2MzQ2MDAifQ==</vt:lpwstr>
  </property>
  <property fmtid="{D5CDD505-2E9C-101B-9397-08002B2CF9AE}" pid="4" name="ICV">
    <vt:lpwstr>6A33A93CEE2A46308E02C6E30A373184_12</vt:lpwstr>
  </property>
</Properties>
</file>